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3F8D6" w14:textId="405E56B2" w:rsidR="005805D7" w:rsidRDefault="005805D7" w:rsidP="004836AF">
      <w:pPr>
        <w:spacing w:line="360" w:lineRule="auto"/>
        <w:ind w:right="1420"/>
        <w:jc w:val="both"/>
      </w:pPr>
    </w:p>
    <w:p w14:paraId="7E30C4F3" w14:textId="300099C3" w:rsidR="005805D7" w:rsidRDefault="005805D7" w:rsidP="004836AF">
      <w:pPr>
        <w:spacing w:line="360" w:lineRule="auto"/>
        <w:ind w:right="1420"/>
        <w:jc w:val="both"/>
      </w:pPr>
    </w:p>
    <w:p w14:paraId="71F343B0" w14:textId="77777777" w:rsidR="00D00AEC" w:rsidRDefault="00D00AEC" w:rsidP="00304BFB">
      <w:pPr>
        <w:spacing w:line="360" w:lineRule="auto"/>
        <w:ind w:right="1420"/>
        <w:jc w:val="both"/>
      </w:pPr>
    </w:p>
    <w:p w14:paraId="5C7565E7" w14:textId="77777777" w:rsidR="00A6302F" w:rsidRDefault="00A6302F" w:rsidP="00304BFB">
      <w:pPr>
        <w:spacing w:line="360" w:lineRule="auto"/>
        <w:ind w:right="1420"/>
        <w:jc w:val="both"/>
      </w:pPr>
    </w:p>
    <w:p w14:paraId="295EA327" w14:textId="77777777" w:rsidR="00A6302F" w:rsidRDefault="00A6302F" w:rsidP="00304BFB">
      <w:pPr>
        <w:spacing w:line="360" w:lineRule="auto"/>
        <w:ind w:right="1420"/>
        <w:jc w:val="both"/>
      </w:pPr>
    </w:p>
    <w:p w14:paraId="2D89E7AB" w14:textId="77777777" w:rsidR="00A6302F" w:rsidRDefault="00A6302F" w:rsidP="00304BFB">
      <w:pPr>
        <w:spacing w:line="360" w:lineRule="auto"/>
        <w:ind w:right="1420"/>
        <w:jc w:val="both"/>
      </w:pPr>
    </w:p>
    <w:p w14:paraId="154401F3" w14:textId="77777777" w:rsidR="00A6302F" w:rsidRDefault="00A6302F" w:rsidP="00304BFB">
      <w:pPr>
        <w:spacing w:line="360" w:lineRule="auto"/>
        <w:ind w:right="1420"/>
        <w:jc w:val="both"/>
      </w:pPr>
    </w:p>
    <w:p w14:paraId="703F83F1" w14:textId="77777777" w:rsidR="00A6302F" w:rsidRDefault="00A6302F" w:rsidP="00304BFB">
      <w:pPr>
        <w:spacing w:line="360" w:lineRule="auto"/>
        <w:ind w:right="1420"/>
        <w:jc w:val="both"/>
      </w:pPr>
    </w:p>
    <w:p w14:paraId="06717E0F" w14:textId="77777777" w:rsidR="00A6302F" w:rsidRDefault="00A6302F" w:rsidP="00304BFB">
      <w:pPr>
        <w:spacing w:line="360" w:lineRule="auto"/>
        <w:ind w:right="1420"/>
        <w:jc w:val="both"/>
      </w:pPr>
    </w:p>
    <w:p w14:paraId="004DA910" w14:textId="77777777" w:rsidR="00A6302F" w:rsidRDefault="00A6302F" w:rsidP="00304BFB">
      <w:pPr>
        <w:spacing w:line="360" w:lineRule="auto"/>
        <w:ind w:right="1420"/>
        <w:jc w:val="both"/>
      </w:pPr>
    </w:p>
    <w:p w14:paraId="550BE572" w14:textId="77777777" w:rsidR="00A6302F" w:rsidRDefault="00A6302F" w:rsidP="00304BFB">
      <w:pPr>
        <w:spacing w:line="360" w:lineRule="auto"/>
        <w:ind w:right="1420"/>
        <w:jc w:val="both"/>
      </w:pPr>
    </w:p>
    <w:p w14:paraId="5202F653" w14:textId="77777777" w:rsidR="00A6302F" w:rsidRDefault="00A6302F" w:rsidP="00304BFB">
      <w:pPr>
        <w:spacing w:line="360" w:lineRule="auto"/>
        <w:ind w:right="1420"/>
        <w:jc w:val="both"/>
      </w:pPr>
    </w:p>
    <w:p w14:paraId="53A21C01" w14:textId="77777777" w:rsidR="00A6302F" w:rsidRDefault="00A6302F" w:rsidP="00304BFB">
      <w:pPr>
        <w:spacing w:line="360" w:lineRule="auto"/>
        <w:ind w:right="1420"/>
        <w:jc w:val="both"/>
      </w:pPr>
    </w:p>
    <w:p w14:paraId="1945FE20" w14:textId="77777777" w:rsidR="00A6302F" w:rsidRDefault="00A6302F" w:rsidP="00304BFB">
      <w:pPr>
        <w:spacing w:line="360" w:lineRule="auto"/>
        <w:ind w:right="1420"/>
        <w:jc w:val="both"/>
      </w:pPr>
    </w:p>
    <w:p w14:paraId="133E3FE6" w14:textId="77777777" w:rsidR="00A6302F" w:rsidRDefault="00A6302F" w:rsidP="00304BFB">
      <w:pPr>
        <w:spacing w:line="360" w:lineRule="auto"/>
        <w:ind w:right="1420"/>
        <w:jc w:val="both"/>
      </w:pPr>
    </w:p>
    <w:p w14:paraId="104AD42C" w14:textId="77777777" w:rsidR="00A6302F" w:rsidRDefault="00A6302F" w:rsidP="00304BFB">
      <w:pPr>
        <w:spacing w:line="360" w:lineRule="auto"/>
        <w:ind w:right="1420"/>
        <w:jc w:val="both"/>
      </w:pPr>
    </w:p>
    <w:p w14:paraId="0402CDFB" w14:textId="77777777" w:rsidR="00A6302F" w:rsidRDefault="00A6302F" w:rsidP="00304BFB">
      <w:pPr>
        <w:spacing w:line="360" w:lineRule="auto"/>
        <w:ind w:right="1420"/>
        <w:jc w:val="both"/>
      </w:pPr>
    </w:p>
    <w:p w14:paraId="20F871A0" w14:textId="77777777" w:rsidR="00A6302F" w:rsidRDefault="00A6302F" w:rsidP="00304BFB">
      <w:pPr>
        <w:spacing w:line="360" w:lineRule="auto"/>
        <w:ind w:right="1420"/>
        <w:jc w:val="both"/>
      </w:pPr>
    </w:p>
    <w:p w14:paraId="0A964A19" w14:textId="77777777" w:rsidR="00A6302F" w:rsidRDefault="00A6302F" w:rsidP="00304BFB">
      <w:pPr>
        <w:spacing w:line="360" w:lineRule="auto"/>
        <w:ind w:right="1420"/>
        <w:jc w:val="both"/>
      </w:pPr>
    </w:p>
    <w:p w14:paraId="5CB237B9" w14:textId="77777777" w:rsidR="00A6302F" w:rsidRDefault="00A6302F" w:rsidP="00304BFB">
      <w:pPr>
        <w:spacing w:line="360" w:lineRule="auto"/>
        <w:ind w:right="1420"/>
        <w:jc w:val="both"/>
      </w:pPr>
    </w:p>
    <w:p w14:paraId="62C16D0C" w14:textId="77777777" w:rsidR="00A6302F" w:rsidRDefault="00A6302F" w:rsidP="00304BFB">
      <w:pPr>
        <w:spacing w:line="360" w:lineRule="auto"/>
        <w:ind w:right="1420"/>
        <w:jc w:val="both"/>
      </w:pPr>
    </w:p>
    <w:p w14:paraId="47764CC9" w14:textId="77777777" w:rsidR="00A6302F" w:rsidRDefault="00A6302F" w:rsidP="00304BFB">
      <w:pPr>
        <w:spacing w:line="360" w:lineRule="auto"/>
        <w:ind w:right="1420"/>
        <w:jc w:val="both"/>
      </w:pPr>
    </w:p>
    <w:p w14:paraId="7EBA630F" w14:textId="77777777" w:rsidR="00A6302F" w:rsidRDefault="00A6302F" w:rsidP="00304BFB">
      <w:pPr>
        <w:spacing w:line="360" w:lineRule="auto"/>
        <w:ind w:right="1420"/>
        <w:jc w:val="both"/>
      </w:pPr>
    </w:p>
    <w:p w14:paraId="2A700250" w14:textId="77777777" w:rsidR="00A6302F" w:rsidRDefault="00A6302F" w:rsidP="00304BFB">
      <w:pPr>
        <w:spacing w:line="360" w:lineRule="auto"/>
        <w:ind w:right="1420"/>
        <w:jc w:val="both"/>
      </w:pPr>
    </w:p>
    <w:p w14:paraId="24B25C1A" w14:textId="77777777" w:rsidR="00A6302F" w:rsidRDefault="00A6302F" w:rsidP="00304BFB">
      <w:pPr>
        <w:spacing w:line="360" w:lineRule="auto"/>
        <w:ind w:right="1420"/>
        <w:jc w:val="both"/>
      </w:pPr>
    </w:p>
    <w:p w14:paraId="093EFD97" w14:textId="77777777" w:rsidR="00A6302F" w:rsidRDefault="00A6302F" w:rsidP="00304BFB">
      <w:pPr>
        <w:spacing w:line="360" w:lineRule="auto"/>
        <w:ind w:right="1420"/>
        <w:jc w:val="both"/>
      </w:pPr>
    </w:p>
    <w:p w14:paraId="3C87CD56" w14:textId="77777777" w:rsidR="00A6302F" w:rsidRDefault="00A6302F" w:rsidP="00304BFB">
      <w:pPr>
        <w:spacing w:line="360" w:lineRule="auto"/>
        <w:ind w:right="1420"/>
        <w:jc w:val="both"/>
      </w:pPr>
    </w:p>
    <w:p w14:paraId="7E939646" w14:textId="77777777" w:rsidR="00A6302F" w:rsidRDefault="00A6302F" w:rsidP="00304BFB">
      <w:pPr>
        <w:spacing w:line="360" w:lineRule="auto"/>
        <w:ind w:right="1420"/>
        <w:jc w:val="both"/>
      </w:pPr>
    </w:p>
    <w:p w14:paraId="330ACE75" w14:textId="77777777" w:rsidR="00A6302F" w:rsidRDefault="00A6302F" w:rsidP="00304BFB">
      <w:pPr>
        <w:spacing w:line="360" w:lineRule="auto"/>
        <w:ind w:right="1420"/>
        <w:jc w:val="both"/>
      </w:pPr>
    </w:p>
    <w:p w14:paraId="33D780F5" w14:textId="77777777" w:rsidR="00A6302F" w:rsidRDefault="00A6302F" w:rsidP="00304BFB">
      <w:pPr>
        <w:spacing w:line="360" w:lineRule="auto"/>
        <w:ind w:right="1420"/>
        <w:jc w:val="both"/>
      </w:pPr>
    </w:p>
    <w:p w14:paraId="2336D7AE" w14:textId="77777777" w:rsidR="00A6302F" w:rsidRDefault="00A6302F" w:rsidP="00304BFB">
      <w:pPr>
        <w:spacing w:line="360" w:lineRule="auto"/>
        <w:ind w:right="1420"/>
        <w:jc w:val="both"/>
      </w:pPr>
    </w:p>
    <w:p w14:paraId="48844AEA" w14:textId="77777777" w:rsidR="00A6302F" w:rsidRDefault="00A6302F" w:rsidP="00304BFB">
      <w:pPr>
        <w:spacing w:line="360" w:lineRule="auto"/>
        <w:ind w:right="1420"/>
        <w:jc w:val="both"/>
      </w:pPr>
    </w:p>
    <w:p w14:paraId="6AC59C00" w14:textId="77777777" w:rsidR="00A6302F" w:rsidRDefault="00A6302F" w:rsidP="00304BFB">
      <w:pPr>
        <w:spacing w:line="360" w:lineRule="auto"/>
        <w:ind w:right="1420"/>
        <w:jc w:val="both"/>
      </w:pPr>
    </w:p>
    <w:p w14:paraId="76164731" w14:textId="77777777" w:rsidR="00A6302F" w:rsidRDefault="00A6302F" w:rsidP="00304BFB">
      <w:pPr>
        <w:spacing w:line="360" w:lineRule="auto"/>
        <w:ind w:right="1420"/>
        <w:jc w:val="both"/>
      </w:pPr>
    </w:p>
    <w:p w14:paraId="1880D9AA" w14:textId="77777777" w:rsidR="00A6302F" w:rsidRDefault="00A6302F" w:rsidP="00304BFB">
      <w:pPr>
        <w:spacing w:line="360" w:lineRule="auto"/>
        <w:ind w:right="1420"/>
        <w:jc w:val="both"/>
      </w:pPr>
    </w:p>
    <w:p w14:paraId="674F25FA" w14:textId="77777777" w:rsidR="00A6302F" w:rsidRDefault="00A6302F" w:rsidP="00304BFB">
      <w:pPr>
        <w:spacing w:line="360" w:lineRule="auto"/>
        <w:ind w:right="1420"/>
        <w:jc w:val="both"/>
      </w:pPr>
    </w:p>
    <w:p w14:paraId="1B439C40" w14:textId="77777777" w:rsidR="00A6302F" w:rsidRDefault="00A6302F" w:rsidP="00304BFB">
      <w:pPr>
        <w:spacing w:line="360" w:lineRule="auto"/>
        <w:ind w:right="1420"/>
        <w:jc w:val="both"/>
      </w:pPr>
    </w:p>
    <w:p w14:paraId="427B7AD8" w14:textId="6270C508" w:rsidR="00A6302F" w:rsidRDefault="00A6302F" w:rsidP="00304BFB">
      <w:pPr>
        <w:spacing w:line="360" w:lineRule="auto"/>
        <w:ind w:right="1420"/>
        <w:jc w:val="both"/>
        <w:sectPr w:rsidR="00A6302F" w:rsidSect="004836AF">
          <w:footerReference w:type="even" r:id="rId8"/>
          <w:footerReference w:type="default" r:id="rId9"/>
          <w:pgSz w:w="11909" w:h="16834"/>
          <w:pgMar w:top="1418" w:right="1418" w:bottom="1418" w:left="2268" w:header="720" w:footer="720" w:gutter="0"/>
          <w:pgNumType w:start="1"/>
          <w:cols w:space="720"/>
        </w:sectPr>
      </w:pPr>
    </w:p>
    <w:p w14:paraId="78622506" w14:textId="77777777" w:rsidR="00A6302F" w:rsidRDefault="00A6302F" w:rsidP="00A6302F">
      <w:pPr>
        <w:spacing w:line="360" w:lineRule="auto"/>
        <w:ind w:right="1420"/>
        <w:jc w:val="both"/>
        <w:rPr>
          <w:b/>
          <w:sz w:val="24"/>
          <w:szCs w:val="24"/>
        </w:rPr>
      </w:pPr>
    </w:p>
    <w:p w14:paraId="11CF1D41" w14:textId="77777777" w:rsidR="00A6302F" w:rsidRDefault="00A6302F" w:rsidP="00A6302F">
      <w:pPr>
        <w:spacing w:line="360" w:lineRule="auto"/>
        <w:ind w:right="1420"/>
        <w:jc w:val="both"/>
        <w:rPr>
          <w:b/>
          <w:sz w:val="24"/>
          <w:szCs w:val="24"/>
        </w:rPr>
      </w:pPr>
    </w:p>
    <w:p w14:paraId="1A82C0C5" w14:textId="68334446" w:rsidR="005E334C" w:rsidRPr="00A6302F" w:rsidRDefault="00117609" w:rsidP="00A6302F">
      <w:pPr>
        <w:spacing w:line="360" w:lineRule="auto"/>
        <w:ind w:right="1420"/>
        <w:jc w:val="both"/>
        <w:rPr>
          <w:b/>
          <w:sz w:val="24"/>
          <w:szCs w:val="24"/>
        </w:rPr>
      </w:pPr>
      <w:r w:rsidRPr="00A6302F">
        <w:rPr>
          <w:b/>
          <w:sz w:val="24"/>
          <w:szCs w:val="24"/>
        </w:rPr>
        <w:t>Introducción: antecedentes y objetivos</w:t>
      </w:r>
    </w:p>
    <w:p w14:paraId="5BBEC39F" w14:textId="77777777" w:rsidR="00304BFB" w:rsidRDefault="00304BFB" w:rsidP="004836AF">
      <w:pPr>
        <w:spacing w:line="360" w:lineRule="auto"/>
        <w:ind w:right="1"/>
        <w:jc w:val="both"/>
      </w:pPr>
    </w:p>
    <w:p w14:paraId="2529F3B9" w14:textId="396F79AD" w:rsidR="005E334C" w:rsidRPr="004836AF" w:rsidRDefault="00117609" w:rsidP="004836AF">
      <w:pPr>
        <w:spacing w:line="360" w:lineRule="auto"/>
        <w:ind w:right="1"/>
        <w:jc w:val="both"/>
        <w:rPr>
          <w:color w:val="FF0000"/>
        </w:rPr>
      </w:pPr>
      <w:r w:rsidRPr="004836AF">
        <w:t xml:space="preserve">Los Implantes dentales han sido utilizados durante décadas para mejorar la función y estética de pacientes que han perdido sus piezas dentales. La ciencia ha ido  avanzando y poniendo a prueba los límites de las diferentes técnicas y procesos biológicos para incrementar el uso de los mismos. </w:t>
      </w:r>
      <w:r w:rsidR="004B358B">
        <w:t xml:space="preserve">Su </w:t>
      </w:r>
      <w:r w:rsidRPr="004836AF">
        <w:t xml:space="preserve">éxito a largo plazo depende en gran medida del grado de </w:t>
      </w:r>
      <w:proofErr w:type="spellStart"/>
      <w:r w:rsidRPr="004836AF">
        <w:t>oseointegración</w:t>
      </w:r>
      <w:proofErr w:type="spellEnd"/>
      <w:r w:rsidRPr="004836AF">
        <w:t xml:space="preserve">  en hueso suficiente en cantidad y calidad</w:t>
      </w:r>
      <w:r w:rsidR="002131B4">
        <w:t xml:space="preserve"> </w:t>
      </w:r>
      <w:r w:rsidR="002131B4">
        <w:fldChar w:fldCharType="begin" w:fldLock="1"/>
      </w:r>
      <w:r w:rsidR="002131B4">
        <w:instrText>ADDIN CSL_CITATION {"citationItems":[{"id":"ITEM-1","itemData":{"DOI":"10.1111/j.1600-051X.2008.01271.x","ISSN":"03036979","abstract":"BACKGROUND: This review addressed the focused question of what is the predictability of vertical ridge augmentation techniques for patients, who were diagnosed with insufficient alveolar bone volume for the placement of dental implants. MATERIAL AND METHODS: A systematic online review of three main databases was performed between 1966 and 1 November 2007. Four groups of vertical bone augmentation techniques have been identified and evaluated: (1) guided bone regeneration, (2) distraction osteogenesis, (3) onlay bone grafting, and (4) an array of different techniques. Data extraction was based on the following outcomes: (a) success and failure rate of the procedure (vertical bone gain/loss), (b) complication rate of the procedure, and (c) implant survival, success and failure rate. RESULTS: The initial search identified 189 papers from the electronic database. The review produced seven papers for GBR, 13 reporting distraction osteogenesis, five for onlay bone grafting and three describing different techniques. CONCLUSIONS: For the concept of vertical ridge augmentation to enable dental implant placement, there are clinical and histological data supporting its potential use. Given the confined number of investigators using these techniques and the low number of patient treatments reported in the literature, the generalizability of this approach is limited at this time.","author":[{"dropping-particle":"","family":"Rocchietta","given":"Isabella","non-dropping-particle":"","parse-names":false,"suffix":""},{"dropping-particle":"","family":"Fontana","given":"Filippo","non-dropping-particle":"","parse-names":false,"suffix":""},{"dropping-particle":"","family":"Simion","given":"Massimo","non-dropping-particle":"","parse-names":false,"suffix":""}],"container-title":"Journal of Clinical Periodontology","id":"ITEM-1","issued":{"date-parts":[["2008"]]},"title":"Clinical outcomes of vertical bone augmentation to enable dental implant placement: A systematic review","type":"paper-conference"},"uris":["http://www.mendeley.com/documents/?uuid=45816e49-e379-375b-b9bd-06aae683def1"]}],"mendeley":{"formattedCitation":"(1)","plainTextFormattedCitation":"(1)","previouslyFormattedCitation":"(1)"},"properties":{"noteIndex":0},"schema":"https://github.com/citation-style-language/schema/raw/master/csl-citation.json"}</w:instrText>
      </w:r>
      <w:r w:rsidR="002131B4">
        <w:fldChar w:fldCharType="separate"/>
      </w:r>
      <w:r w:rsidR="002131B4" w:rsidRPr="002131B4">
        <w:rPr>
          <w:noProof/>
        </w:rPr>
        <w:t>(1)</w:t>
      </w:r>
      <w:r w:rsidR="002131B4">
        <w:fldChar w:fldCharType="end"/>
      </w:r>
      <w:r w:rsidRPr="004836AF">
        <w:t>.</w:t>
      </w:r>
    </w:p>
    <w:p w14:paraId="7153D745" w14:textId="42F485CB" w:rsidR="005E334C" w:rsidRPr="004836AF" w:rsidRDefault="00117609" w:rsidP="004836AF">
      <w:pPr>
        <w:spacing w:line="360" w:lineRule="auto"/>
        <w:jc w:val="both"/>
      </w:pPr>
      <w:r w:rsidRPr="004836AF">
        <w:t xml:space="preserve">Normalmente la colocación de un </w:t>
      </w:r>
      <w:proofErr w:type="spellStart"/>
      <w:r w:rsidRPr="004836AF">
        <w:t>impalnte</w:t>
      </w:r>
      <w:proofErr w:type="spellEnd"/>
      <w:r w:rsidRPr="004836AF">
        <w:t xml:space="preserve"> dental de tamaño estándar en el sector posterior de la mandíbula requiere un </w:t>
      </w:r>
      <w:proofErr w:type="spellStart"/>
      <w:r w:rsidRPr="004836AF">
        <w:t>minimo</w:t>
      </w:r>
      <w:proofErr w:type="spellEnd"/>
      <w:r w:rsidRPr="004836AF">
        <w:t xml:space="preserve"> de hueso residual de 10 mm de altura </w:t>
      </w:r>
      <w:r w:rsidR="004B358B">
        <w:t xml:space="preserve">de la cresta </w:t>
      </w:r>
      <w:r w:rsidRPr="004836AF">
        <w:t xml:space="preserve">al paquete </w:t>
      </w:r>
      <w:proofErr w:type="spellStart"/>
      <w:r w:rsidRPr="004836AF">
        <w:t>vasculo</w:t>
      </w:r>
      <w:proofErr w:type="spellEnd"/>
      <w:r w:rsidRPr="004836AF">
        <w:t xml:space="preserve"> nervioso alveolar inferior. Sin embargo un tratamiento exitoso puede verse limitado por falta de la misma, aume</w:t>
      </w:r>
      <w:r w:rsidR="004B358B">
        <w:t>n</w:t>
      </w:r>
      <w:r w:rsidRPr="004836AF">
        <w:t>tando los riesgos de daño al comentado paquete</w:t>
      </w:r>
      <w:r w:rsidR="001F34DB">
        <w:t xml:space="preserve"> </w:t>
      </w:r>
      <w:r w:rsidR="001F34DB">
        <w:fldChar w:fldCharType="begin" w:fldLock="1"/>
      </w:r>
      <w:r w:rsidR="00D21A68">
        <w:instrText>ADDIN CSL_CITATION {"citationItems":[{"id":"ITEM-1","itemData":{"DOI":"10.1902/jop.2011.110205","ISSN":"0022-3492","abstract":"BACKGROUND The alveolar ridge undergoes reabsorption and atrophy subsequent to tooth removal and thus exhibits a wide range of dimensional changes. Preservation of the alveolar crest after tooth extraction is essential to enhance the surgical site before implant fixture placement. The aim of this randomized clinical study is to investigate and compare the need for additional augmentation procedures at implant insertion, as well as the success rate and marginal bone loss for implants placed in the grafted sites versus those placed in naturally healed sites. METHODS Forty patients with ≥1 hopeless tooth were randomly allocated to: 1) a test group, receiving extraction and grafting corticocancellous porcine bone; and 2) a control group, receiving extraction without any graft. After 7 months of healing, implants were inserted in each of the sites. The implants were submerged and loaded after 4 months with metal-ceramic rehabilitation. The follow-up included evaluation of implant diameter and length, the need for additional augmentation procedures at implant placement, implant failure, and marginal bone level changes. All patients were followed over a 3-year period. RESULTS One implant failed in the control group at the second stage of surgery (6 months after placement); one implant failed in the test group after 2 years of loading. The cumulative implant success rate at the 3-year follow-up visit reached 95% for both groups. No statistically significant differences were detected for marginal bone changes between the two groups. CONCLUSIONS It was concluded that implants placed into grafted extraction sockets exhibited a clinical performance similar to implants placed into non-grafted sites in terms of implant survival and marginal bone loss. However, grafted sites allowed placement of larger implants and required less augmentation procedures at implant placement when compared to naturally healed sites.","author":[{"dropping-particle":"","family":"Barone","given":"Antonio","non-dropping-particle":"","parse-names":false,"suffix":""},{"dropping-particle":"","family":"Orlando","given":"Bruno","non-dropping-particle":"","parse-names":false,"suffix":""},{"dropping-particle":"","family":"Cingano","given":"Luciano","non-dropping-particle":"","parse-names":false,"suffix":""},{"dropping-particle":"","family":"Marconcini","given":"Simone","non-dropping-particle":"","parse-names":false,"suffix":""},{"dropping-particle":"","family":"Derchi","given":"Giacomo","non-dropping-particle":"","parse-names":false,"suffix":""},{"dropping-particle":"","family":"Covani","given":"Ugo","non-dropping-particle":"","parse-names":false,"suffix":""}],"container-title":"Journal of Periodontology","id":"ITEM-1","issue":"7","issued":{"date-parts":[["2012"]]},"page":"836-846","title":"A Randomized Clinical Trial to Evaluate and Compare Implants Placed in Augmented Versus Non-Augmented Extraction Sockets: 3-Year Results","type":"article-journal","volume":"83"},"uris":["http://www.mendeley.com/documents/?uuid=d57c0223-e7a6-39ed-be88-ecaf8fba2914"]}],"mendeley":{"formattedCitation":"(2)","plainTextFormattedCitation":"(2)","previouslyFormattedCitation":"(2)"},"properties":{"noteIndex":0},"schema":"https://github.com/citation-style-language/schema/raw/master/csl-citation.json"}</w:instrText>
      </w:r>
      <w:r w:rsidR="001F34DB">
        <w:fldChar w:fldCharType="separate"/>
      </w:r>
      <w:r w:rsidR="001F34DB" w:rsidRPr="001F34DB">
        <w:rPr>
          <w:noProof/>
        </w:rPr>
        <w:t>(2)</w:t>
      </w:r>
      <w:r w:rsidR="001F34DB">
        <w:fldChar w:fldCharType="end"/>
      </w:r>
      <w:r w:rsidRPr="004836AF">
        <w:t xml:space="preserve">.   </w:t>
      </w:r>
    </w:p>
    <w:p w14:paraId="0FDF5F1B" w14:textId="78A717B7" w:rsidR="0007783E" w:rsidRDefault="00117609" w:rsidP="004836AF">
      <w:pPr>
        <w:spacing w:line="360" w:lineRule="auto"/>
        <w:jc w:val="both"/>
      </w:pPr>
      <w:r w:rsidRPr="004836AF">
        <w:t xml:space="preserve"> Luego de una extracción dentaria,  se produce una pérdida ósea horizontal de </w:t>
      </w:r>
      <w:proofErr w:type="spellStart"/>
      <w:r w:rsidRPr="004836AF">
        <w:t>3,79mm</w:t>
      </w:r>
      <w:proofErr w:type="spellEnd"/>
      <w:r w:rsidRPr="004836AF">
        <w:t xml:space="preserve"> ± </w:t>
      </w:r>
      <w:proofErr w:type="spellStart"/>
      <w:r w:rsidRPr="004836AF">
        <w:t>0,23m</w:t>
      </w:r>
      <w:proofErr w:type="spellEnd"/>
      <w:r w:rsidRPr="004836AF">
        <w:t xml:space="preserve"> y vertical de </w:t>
      </w:r>
      <w:proofErr w:type="spellStart"/>
      <w:r w:rsidRPr="004836AF">
        <w:t>1,24mm</w:t>
      </w:r>
      <w:proofErr w:type="spellEnd"/>
      <w:r w:rsidRPr="004836AF">
        <w:t xml:space="preserve"> ± </w:t>
      </w:r>
      <w:proofErr w:type="spellStart"/>
      <w:r w:rsidRPr="004836AF">
        <w:t>0,11mm</w:t>
      </w:r>
      <w:proofErr w:type="spellEnd"/>
      <w:r w:rsidRPr="004836AF">
        <w:t xml:space="preserve"> en vestibular, 0,84 ± 0,71 en </w:t>
      </w:r>
      <w:proofErr w:type="spellStart"/>
      <w:r w:rsidRPr="004836AF">
        <w:t>mesial</w:t>
      </w:r>
      <w:proofErr w:type="spellEnd"/>
      <w:r w:rsidRPr="004836AF">
        <w:t xml:space="preserve"> y 0,80 ± 0,71 en distal en los primeros 6 meses </w:t>
      </w:r>
      <w:r w:rsidR="004D5EDC">
        <w:fldChar w:fldCharType="begin" w:fldLock="1"/>
      </w:r>
      <w:r w:rsidR="004D5EDC">
        <w:instrText>ADDIN CSL_CITATION {"citationItems":[{"id":"ITEM-1","itemData":{"DOI":"10.1111/j.1600-051X.2009.01482.x","ISSN":"03036979","abstract":"OBJECTIVE: To review the literature to assess the amount of change in height and width of the residual ridge after tooth extraction. MATERIAL AND METHODS: MEDLINE-PubMed and the Cochrane Central register of controlled trials (CENTRAL) were searched through up to March 2009. Appropriate studies which data reported concerning the dimensional changes in alveolar height and width after tooth extraction were included. Approximal height change, mid-buccal change, mid-crestal change, mid-lingual change, Alveolar width change and socket fill were selected as outcome variables. Mean values and if available standard deviations were extracted. Weighted mean changes were calculated. RESULTS: Independent screening of the titles and abstracts of 1244 MEDLINE-PubMed and 106 Cochrane papers resulted in 12 publications that met the eligibility criteria. The reduction in width of the alveolar ridges was 3.87 mm. The mean clinical mid-buccal height loss was 1.67 mm. The mean crestal height change as assessed on the radiographs was 1.53 mm. Socket fill in height as measured relative to the original socket floor was on an average 2.57 mm. CONCLUSION: During the post-extraction healing period, the weighted mean changes as based on the data derived from the individual selected studies show the clinical loss in width to be greater than the loss in height, assessed both clinically as well as radiographically.","author":[{"dropping-particle":"","family":"Weijden","given":"Fridus","non-dropping-particle":"Van Der","parse-names":false,"suffix":""},{"dropping-particle":"","family":"Dell'Acqua","given":"Federico","non-dropping-particle":"","parse-names":false,"suffix":""},{"dropping-particle":"","family":"Slot","given":"Dagmar Else","non-dropping-particle":"","parse-names":false,"suffix":""}],"container-title":"Journal of Clinical Periodontology","id":"ITEM-1","issue":"12","issued":{"date-parts":[["2009"]]},"page":"1048-1058","title":"Alveolar bone dimensional changes of post-extraction sockets in humans: A systematic review","type":"article-journal","volume":"36"},"uris":["http://www.mendeley.com/documents/?uuid=592377e2-83c2-41a8-ae9e-0224a61625ea"]}],"mendeley":{"formattedCitation":"(3)","plainTextFormattedCitation":"(3)","previouslyFormattedCitation":"(3)"},"properties":{"noteIndex":0},"schema":"https://github.com/citation-style-language/schema/raw/master/csl-citation.json"}</w:instrText>
      </w:r>
      <w:r w:rsidR="004D5EDC">
        <w:fldChar w:fldCharType="separate"/>
      </w:r>
      <w:r w:rsidR="004D5EDC" w:rsidRPr="004D5EDC">
        <w:rPr>
          <w:noProof/>
        </w:rPr>
        <w:t>(3)</w:t>
      </w:r>
      <w:r w:rsidR="004D5EDC">
        <w:fldChar w:fldCharType="end"/>
      </w:r>
      <w:r w:rsidR="004D5EDC">
        <w:t>.</w:t>
      </w:r>
      <w:r w:rsidRPr="004836AF">
        <w:t xml:space="preserve"> En porcentaje el cambio de dimensi</w:t>
      </w:r>
      <w:r w:rsidR="004B358B">
        <w:t>ó</w:t>
      </w:r>
      <w:r w:rsidRPr="004836AF">
        <w:t xml:space="preserve">n vertical es del 11% al 22% y horizontal del 29% al 63% a los 6 meses </w:t>
      </w:r>
      <w:r w:rsidR="004D5EDC">
        <w:fldChar w:fldCharType="begin" w:fldLock="1"/>
      </w:r>
      <w:r w:rsidR="004D5EDC">
        <w:instrText>ADDIN CSL_CITATION {"citationItems":[{"id":"ITEM-1","itemData":{"DOI":"10.1111/j.1600-0501.2011.02375.x","ISSN":"09057161","abstract":"BACKGROUND Removal of teeth results in both horizontal and vertical changes of hard and soft tissue dimensions. The magnitude of these changes is important for decision-making and comprehensive treatment planning, with provisions for possible solutions to expected complications during prosthetic rehabilitation. OBJECTIVES To review all English dental literature to assess the magnitude of dimensional changes of both the hard and soft tissues of the alveolar ridge up to 12 months following tooth extraction in humans. METHODS An electronic MEDLINE and CENTRAL search complemented by manual searching was conducted to identify randomized controlled clinical trials and prospective cohort studies on hard and soft tissue dimensional changes after tooth extraction. Only studies reporting on undisturbed post-extraction dimensional changes relative to a fixed reference point over a clearly stated time period were included. Assessment of the identified studies and data extraction was performed independently by two reviewers. Data collected were reported by descriptive methods. Weighted means and percentages of the dimensional changes over time were calculated where appropriate. RESULTS The search provided 3954 titles and 238 abstracts. Full text analysis was performed for 104 articles resulting in 20 studies that met the inclusion criteria. In human hard tissue, horizontal dimensional reduction (3.79 ± 0.23 mm) was more than vertical reduction (1.24 ± 0.11 mm on buccal, 0.84 ± 0.62 mm on mesial and 0.80 ± 0.71 mm on distal sites) at 6 months. Percentage vertical dimensional change was 11-22% at 6 months. Percentage horizontal dimensional change was 32% at 3 months, and 29-63% at 6-7 months. Soft tissue changes demonstrated 0.4-0.5 mm gain of thickness at 6 months on the buccal and lingual aspects. Horizontal dimensional changes of hard and soft tissue (loss of 0.1-6.1 mm) was more substantial than vertical change (loss 0.9 mm to gain 0.4 mm) during observation periods of up to 12 months, when study casts were utilized as a means of documenting the changes. CONCLUSIONS Human re-entry studies showed horizontal bone loss of 29-63% and vertical bone loss of 11-22% after 6 months following tooth extraction. These studies demonstrated rapid reductions in the first 3-6 months that was followed by gradual reductions in dimensions thereafter.","author":[{"dropping-particle":"","family":"Tan","given":"Wah Lay","non-dropping-particle":"","parse-names":false,"suffix":""},{"dropping-particle":"","family":"Wong","given":"Terry L.T.","non-dropping-particle":"","parse-names":false,"suffix":""},{"dropping-particle":"","family":"Wong","given":"May C.M.","non-dropping-particle":"","parse-names":false,"suffix":""},{"dropping-particle":"","family":"Lang","given":"Niklaus P.","non-dropping-particle":"","parse-names":false,"suffix":""}],"container-title":"Clinical Oral Implants Research","id":"ITEM-1","issue":"SUPPL. 5","issued":{"date-parts":[["2012"]]},"page":"1-21","title":"A systematic review of post-extractional alveolar hard and soft tissue dimensional changes in humans","type":"article-journal","volume":"23"},"uris":["http://www.mendeley.com/documents/?uuid=35b56f08-4355-4b96-97c0-03e1c909d627"]}],"mendeley":{"formattedCitation":"(4)","plainTextFormattedCitation":"(4)","previouslyFormattedCitation":"(4)"},"properties":{"noteIndex":0},"schema":"https://github.com/citation-style-language/schema/raw/master/csl-citation.json"}</w:instrText>
      </w:r>
      <w:r w:rsidR="004D5EDC">
        <w:fldChar w:fldCharType="separate"/>
      </w:r>
      <w:r w:rsidR="004D5EDC" w:rsidRPr="004D5EDC">
        <w:rPr>
          <w:noProof/>
        </w:rPr>
        <w:t>(4)</w:t>
      </w:r>
      <w:r w:rsidR="004D5EDC">
        <w:fldChar w:fldCharType="end"/>
      </w:r>
      <w:r w:rsidRPr="004836AF">
        <w:t>.</w:t>
      </w:r>
    </w:p>
    <w:p w14:paraId="3876726B" w14:textId="53F2421E" w:rsidR="005E334C" w:rsidRPr="004836AF" w:rsidRDefault="00117609" w:rsidP="004836AF">
      <w:pPr>
        <w:spacing w:line="360" w:lineRule="auto"/>
        <w:jc w:val="both"/>
      </w:pPr>
      <w:r w:rsidRPr="004836AF">
        <w:t xml:space="preserve"> Factores sistémicos como el consumo de medicamentos o enfermedades, la presencia o no de dientes, el tiempo transcurrido desde la pérdida de los mismos y el tipo de rehabilitación son elementos importantes que influyen en la cantidad y calidad del hueso en los maxilares. El hueso alveolar es una estructura diente dependiente. La reabsorción del hueso residual sigue ciertos patrones descritos por </w:t>
      </w:r>
      <w:proofErr w:type="spellStart"/>
      <w:r w:rsidRPr="004836AF">
        <w:t>Atwood</w:t>
      </w:r>
      <w:proofErr w:type="spellEnd"/>
      <w:r w:rsidRPr="004836AF">
        <w:t xml:space="preserve"> en 1971. La pérdida ósea vertical genera grandes desafíos a la </w:t>
      </w:r>
      <w:proofErr w:type="spellStart"/>
      <w:r w:rsidRPr="004836AF">
        <w:t>implantología</w:t>
      </w:r>
      <w:proofErr w:type="spellEnd"/>
      <w:r w:rsidRPr="004836AF">
        <w:t xml:space="preserve"> debido a dificultades quirúrgicas y a limitaciones anatómicas. No solamente por la pérdida de volumen, sino por los cambios en la calidad del hueso, especialmente en áreas </w:t>
      </w:r>
      <w:proofErr w:type="spellStart"/>
      <w:r w:rsidRPr="004836AF">
        <w:t>edéntulas</w:t>
      </w:r>
      <w:proofErr w:type="spellEnd"/>
      <w:r w:rsidRPr="004836AF">
        <w:t xml:space="preserve"> donde implantes dentales pueden ser necesarios. Las técnicas quirúrgicas junto con la superficie del implante y la calidad ósea son los factores principales que afectan la </w:t>
      </w:r>
      <w:proofErr w:type="spellStart"/>
      <w:r w:rsidRPr="004836AF">
        <w:t>oseointegración</w:t>
      </w:r>
      <w:proofErr w:type="spellEnd"/>
      <w:r w:rsidRPr="004836AF">
        <w:t xml:space="preserve"> de los mismos</w:t>
      </w:r>
      <w:r w:rsidR="004D5EDC">
        <w:t xml:space="preserve"> </w:t>
      </w:r>
      <w:r w:rsidR="004D5EDC">
        <w:fldChar w:fldCharType="begin" w:fldLock="1"/>
      </w:r>
      <w:r w:rsidR="004D5EDC">
        <w:instrText>ADDIN CSL_CITATION {"citationItems":[{"id":"ITEM-1","itemData":{"DOI":"10.1111/clr.12340","ISSN":"16000501","abstract":"Objectives Adaptations of the alveolar ridge after tooth loss have been well described. However, studies on the morphometric characteristics of cortical bone are rare; hence, this study of human atrophic edentulous mandibles was undertaken. Material and methods Total cortical area, porosity, and thickness, and the percentage of cortical area in the complete mandibular area as well as in an area (height, 10 mm) starting at the most caudal point of the trabecular compartment and extending in the coronal direction were determined in 185 thin ground sections of edentulous mandibles (incisor region, 49; premolar region, 76; molar region, 60; 95 from females and 90 from males; mean age, 78.2 years, SD ±7.8 years; Caucasian donors; cause of death: cardiovascular disease). Further, mandibular height and width and degree of residual ridge resorption (RRR) were recorded. Results The percentage of cortical area in the complete mandibular area increased with increasing RRR. Yet, evaluation of the 10-mm caudal portion corresponding to the basal part of the mandibular body did not confirm these changes in cortical bone. Cortical porosity and thickness decreased from the mesial to the distal region. Cortical porosity was unaffected by RRR, while cortical thickness increased, mainly at lingual aspects. Conclusions In conclusion, cortical bone remained stable in different degrees of RRR except for some modulations in the lingual aspects. Changes in the relative composition between cortical and trabecular bone are due to loss of height and total area, mainly at expense of trabecular bone area, but not to adaptations of the cortical bone.","author":[{"dropping-particle":"","family":"Bertl","given":"Kristina","non-dropping-particle":"","parse-names":false,"suffix":""},{"dropping-particle":"","family":"Subotic","given":"Miroslav","non-dropping-particle":"","parse-names":false,"suffix":""},{"dropping-particle":"","family":"Heimel","given":"Patrick","non-dropping-particle":"","parse-names":false,"suffix":""},{"dropping-particle":"","family":"Schwarze","given":"Uwe Y.","non-dropping-particle":"","parse-names":false,"suffix":""},{"dropping-particle":"","family":"Tangl","given":"Stefan","non-dropping-particle":"","parse-names":false,"suffix":""},{"dropping-particle":"","family":"Ulm","given":"Christian","non-dropping-particle":"","parse-names":false,"suffix":""}],"container-title":"Clinical Oral Implants Research","id":"ITEM-1","issue":"7","issued":{"date-parts":[["2015"]]},"page":"780-787","title":"Morphometric characteristics of cortical and trabecular bone in atrophic edentulous mandibles","type":"article-journal","volume":"26"},"uris":["http://www.mendeley.com/documents/?uuid=d566c5e3-ef6b-40d1-98a0-69c535e84019"]}],"mendeley":{"formattedCitation":"(5)","plainTextFormattedCitation":"(5)","previouslyFormattedCitation":"(5)"},"properties":{"noteIndex":0},"schema":"https://github.com/citation-style-language/schema/raw/master/csl-citation.json"}</w:instrText>
      </w:r>
      <w:r w:rsidR="004D5EDC">
        <w:fldChar w:fldCharType="separate"/>
      </w:r>
      <w:r w:rsidR="004D5EDC" w:rsidRPr="004D5EDC">
        <w:rPr>
          <w:noProof/>
        </w:rPr>
        <w:t>(5)</w:t>
      </w:r>
      <w:r w:rsidR="004D5EDC">
        <w:fldChar w:fldCharType="end"/>
      </w:r>
      <w:r w:rsidRPr="004836AF">
        <w:t>.</w:t>
      </w:r>
    </w:p>
    <w:p w14:paraId="05998C79" w14:textId="220282EE" w:rsidR="004D5EDC" w:rsidRDefault="00117609" w:rsidP="004D5EDC">
      <w:pPr>
        <w:spacing w:line="360" w:lineRule="auto"/>
        <w:jc w:val="both"/>
      </w:pPr>
      <w:r w:rsidRPr="004836AF">
        <w:t xml:space="preserve">Ulm y colaboradores describieron adaptaciones significativas del hueso trabecular en mandíbulas humanas dependiendo del género y la región. Vieron que el área de hueso trabecular disminuía  en la zona posterior de la mandíbula especialmente en mujeres. Basados en estos datos asumieron que la estabilidad de la mandíbula podría depender principalmente del hueso cortical y no trabecular. Un incremento de la cortical puede favorecer la estabilidad primaria del implante. Por otro lado las </w:t>
      </w:r>
      <w:r w:rsidRPr="004836AF">
        <w:lastRenderedPageBreak/>
        <w:t xml:space="preserve">células </w:t>
      </w:r>
      <w:proofErr w:type="spellStart"/>
      <w:r w:rsidRPr="004836AF">
        <w:t>mesenquimáticas</w:t>
      </w:r>
      <w:proofErr w:type="spellEnd"/>
      <w:r w:rsidRPr="004836AF">
        <w:t xml:space="preserve"> del hueso trabecular van a estar en menor número,</w:t>
      </w:r>
      <w:r w:rsidR="004D5EDC">
        <w:t xml:space="preserve"> siendo estas </w:t>
      </w:r>
      <w:r w:rsidRPr="004836AF">
        <w:t xml:space="preserve">fundamentales para el éxito de la </w:t>
      </w:r>
      <w:proofErr w:type="spellStart"/>
      <w:r w:rsidRPr="004836AF">
        <w:t>oseointegración</w:t>
      </w:r>
      <w:proofErr w:type="spellEnd"/>
      <w:r w:rsidR="004D5EDC">
        <w:t xml:space="preserve"> </w:t>
      </w:r>
      <w:r w:rsidR="004D5EDC">
        <w:fldChar w:fldCharType="begin" w:fldLock="1"/>
      </w:r>
      <w:r w:rsidR="004D5EDC">
        <w:instrText>ADDIN CSL_CITATION {"citationItems":[{"id":"ITEM-1","itemData":{"DOI":"10.1111/clr.12340","ISSN":"16000501","abstract":"Objectives Adaptations of the alveolar ridge after tooth loss have been well described. However, studies on the morphometric characteristics of cortical bone are rare; hence, this study of human atrophic edentulous mandibles was undertaken. Material and methods Total cortical area, porosity, and thickness, and the percentage of cortical area in the complete mandibular area as well as in an area (height, 10 mm) starting at the most caudal point of the trabecular compartment and extending in the coronal direction were determined in 185 thin ground sections of edentulous mandibles (incisor region, 49; premolar region, 76; molar region, 60; 95 from females and 90 from males; mean age, 78.2 years, SD ±7.8 years; Caucasian donors; cause of death: cardiovascular disease). Further, mandibular height and width and degree of residual ridge resorption (RRR) were recorded. Results The percentage of cortical area in the complete mandibular area increased with increasing RRR. Yet, evaluation of the 10-mm caudal portion corresponding to the basal part of the mandibular body did not confirm these changes in cortical bone. Cortical porosity and thickness decreased from the mesial to the distal region. Cortical porosity was unaffected by RRR, while cortical thickness increased, mainly at lingual aspects. Conclusions In conclusion, cortical bone remained stable in different degrees of RRR except for some modulations in the lingual aspects. Changes in the relative composition between cortical and trabecular bone are due to loss of height and total area, mainly at expense of trabecular bone area, but not to adaptations of the cortical bone.","author":[{"dropping-particle":"","family":"Bertl","given":"Kristina","non-dropping-particle":"","parse-names":false,"suffix":""},{"dropping-particle":"","family":"Subotic","given":"Miroslav","non-dropping-particle":"","parse-names":false,"suffix":""},{"dropping-particle":"","family":"Heimel","given":"Patrick","non-dropping-particle":"","parse-names":false,"suffix":""},{"dropping-particle":"","family":"Schwarze","given":"Uwe Y.","non-dropping-particle":"","parse-names":false,"suffix":""},{"dropping-particle":"","family":"Tangl","given":"Stefan","non-dropping-particle":"","parse-names":false,"suffix":""},{"dropping-particle":"","family":"Ulm","given":"Christian","non-dropping-particle":"","parse-names":false,"suffix":""}],"container-title":"Clinical Oral Implants Research","id":"ITEM-1","issue":"7","issued":{"date-parts":[["2015"]]},"page":"780-787","title":"Morphometric characteristics of cortical and trabecular bone in atrophic edentulous mandibles","type":"article-journal","volume":"26"},"uris":["http://www.mendeley.com/documents/?uuid=d566c5e3-ef6b-40d1-98a0-69c535e84019"]}],"mendeley":{"formattedCitation":"(5)","plainTextFormattedCitation":"(5)","previouslyFormattedCitation":"(5)"},"properties":{"noteIndex":0},"schema":"https://github.com/citation-style-language/schema/raw/master/csl-citation.json"}</w:instrText>
      </w:r>
      <w:r w:rsidR="004D5EDC">
        <w:fldChar w:fldCharType="separate"/>
      </w:r>
      <w:r w:rsidR="004D5EDC" w:rsidRPr="004D5EDC">
        <w:rPr>
          <w:noProof/>
        </w:rPr>
        <w:t>(5)</w:t>
      </w:r>
      <w:r w:rsidR="004D5EDC">
        <w:fldChar w:fldCharType="end"/>
      </w:r>
      <w:r w:rsidRPr="004836AF">
        <w:t>.</w:t>
      </w:r>
    </w:p>
    <w:p w14:paraId="04A50434" w14:textId="668E6EAB" w:rsidR="005E334C" w:rsidRPr="004D5EDC" w:rsidRDefault="00117609" w:rsidP="004D5EDC">
      <w:pPr>
        <w:spacing w:line="360" w:lineRule="auto"/>
        <w:jc w:val="both"/>
      </w:pPr>
      <w:r w:rsidRPr="004836AF">
        <w:t xml:space="preserve">Cuando la altura de hueso residual sobre el nervio alveolar  se encuentra entre </w:t>
      </w:r>
      <w:proofErr w:type="spellStart"/>
      <w:r w:rsidRPr="004836AF">
        <w:t>6mm</w:t>
      </w:r>
      <w:proofErr w:type="spellEnd"/>
      <w:r w:rsidRPr="004836AF">
        <w:t xml:space="preserve"> y </w:t>
      </w:r>
      <w:proofErr w:type="spellStart"/>
      <w:r w:rsidRPr="004836AF">
        <w:t>10mm</w:t>
      </w:r>
      <w:proofErr w:type="spellEnd"/>
      <w:r w:rsidRPr="004836AF">
        <w:t>, implantes de longitud est</w:t>
      </w:r>
      <w:r w:rsidR="004B358B">
        <w:t>á</w:t>
      </w:r>
      <w:r w:rsidRPr="004836AF">
        <w:t>ndar no pueden ser instalados. El uso de implantes cortos en hueso nativo puede ser una alternativa apropiada</w:t>
      </w:r>
      <w:r w:rsidR="008A119C">
        <w:t xml:space="preserve"> </w:t>
      </w:r>
      <w:r w:rsidR="008A119C">
        <w:fldChar w:fldCharType="begin" w:fldLock="1"/>
      </w:r>
      <w:r w:rsidR="008A119C">
        <w:instrText>ADDIN CSL_CITATION {"citationItems":[{"id":"ITEM-1","itemData":{"DOI":"10.1111/clr.12704","ISSN":"16000501","abstract":"© 2015 John Wiley &amp; Sons A/S. Published by John Wiley &amp; Sons LtdObjective: The aim of this research was to evaluate the primary stability, the marginal bone loss, the survival, and the success criteria, of 4-mm-length implants compared with implants of conventional length supporting fixed prostheses. Materials and Methods: Ten patients were selected for treatment of their atrophic edentulous jaws. Each patient received the following treatment: six dental implants were inserted, two anterior implants of conventional length (10-mm) in the interforaminal area and four posterior short implants of 4-mm length (Standard Plus, Roxolid, SLActive, Institut Straumann AG). The implants supported screw-retained fixed complete dentures. Examinations were conducted at day 0, three, six, and twelve months after surgery for the evaluation of the implant primary stability, secondary stability, crestal bone loss and survival by clinical evaluations, insertion torque values, resonance frequency analysis (RFA), and periapical radiography, respectively. Results: Sixty implants were inserted in ten patients. Mean insertion torque was slightly lower for 4-mm implants than 10-mm implants (38.1 Ncm vs. 42.2 Ncm) but without statistically significant difference. Implant stability was similar for extrashort and conventional implants. Marginal bone loss was similar for both groups for all the time periods. One short implant was lost before loading. The survival rates twelve months after implant placement were of 97.5% and 100% for short and conventional implants, respectively. Similarly, implant stability as measured by RFA was nonsignificantly lower for the 4-mm implants compared to the 10-mm implants. The marginal bone loss was lower for short implants three, six, and twelve months after the surgery without statistical significant difference. Conclusions: Within the limitations of this study, we conclude that short dental implants (8 mm or less in length) supporting single crowns or fixed bridges are a feasible treatment option with radiographic and clinical success rates similar to longer implants for patients with compromised ridges. Long-term data with larger number of implants and subjects are needed to confirm these preliminary results.","author":[{"dropping-particle":"","family":"Calvo-Guirado","given":"José Luis","non-dropping-particle":"","parse-names":false,"suffix":""},{"dropping-particle":"","family":"López Torres","given":"José Alberto","non-dropping-particle":"","parse-names":false,"suffix":""},{"dropping-particle":"","family":"Dard","given":"Michel","non-dropping-particle":"","parse-names":false,"suffix":""},{"dropping-particle":"","family":"Javed","given":"Fawad","non-dropping-particle":"","parse-names":false,"suffix":""},{"dropping-particle":"","family":"Pérez-Albacete Martínez","given":"Carlos","non-dropping-particle":"","parse-names":false,"suffix":""},{"dropping-particle":"","family":"Maté Sánchez de Val","given":"José Eduardo","non-dropping-particle":"","parse-names":false,"suffix":""}],"container-title":"Clinical Oral Implants Research","id":"ITEM-1","issued":{"date-parts":[["2016"]]},"title":"Evaluation of extrashort 4-mm implants in mandibular edentulous patients with reduced bone height in comparison with standard implants: a 12-month results","type":"article-journal"},"uris":["http://www.mendeley.com/documents/?uuid=4547c802-5ee6-3412-b05c-320aece2abc3"]}],"mendeley":{"formattedCitation":"(6)","plainTextFormattedCitation":"(6)","previouslyFormattedCitation":"(6)"},"properties":{"noteIndex":0},"schema":"https://github.com/citation-style-language/schema/raw/master/csl-citation.json"}</w:instrText>
      </w:r>
      <w:r w:rsidR="008A119C">
        <w:fldChar w:fldCharType="separate"/>
      </w:r>
      <w:r w:rsidR="008A119C" w:rsidRPr="008A119C">
        <w:rPr>
          <w:noProof/>
        </w:rPr>
        <w:t>(6)</w:t>
      </w:r>
      <w:r w:rsidR="008A119C">
        <w:fldChar w:fldCharType="end"/>
      </w:r>
      <w:r w:rsidR="004836AF">
        <w:t>.</w:t>
      </w:r>
      <w:r w:rsidRPr="004836AF">
        <w:t xml:space="preserve">  La definición de implante corto es controversial. Mientras algunos autores consideran que los implantes cortos miden de </w:t>
      </w:r>
      <w:proofErr w:type="spellStart"/>
      <w:r w:rsidRPr="004836AF">
        <w:t>7mm</w:t>
      </w:r>
      <w:proofErr w:type="spellEnd"/>
      <w:r w:rsidRPr="004836AF">
        <w:t xml:space="preserve"> a </w:t>
      </w:r>
      <w:proofErr w:type="spellStart"/>
      <w:r w:rsidRPr="004836AF">
        <w:t>10mm</w:t>
      </w:r>
      <w:proofErr w:type="spellEnd"/>
      <w:r w:rsidRPr="004836AF">
        <w:t xml:space="preserve"> </w:t>
      </w:r>
      <w:r w:rsidR="008A119C">
        <w:fldChar w:fldCharType="begin" w:fldLock="1"/>
      </w:r>
      <w:r w:rsidR="00105FD1">
        <w:instrText>ADDIN CSL_CITATION {"citationItems":[{"id":"ITEM-1","itemData":{"DOI":"10.1016/j.prosdent.2006.05.023","ISSN":"00223913","abstract":"PURPOSE The purpose of this study was to consider the therapeutic decision whether to use advanced surgery or short implants based on data concerning the use of these implants found in follow-up studies. MATERIALS AND METHODS The MEDLINE database was consulted for follow-up studies published between the years 1980 and 2004. For those studies that met the inclusion and exclusion criteria, data concerning the number of implants 7, 8.5, or 10 mm long placed and lost, the time at which the failure occurred, and related risk factors were gathered for 33 studies arranged in tables and subjected to analysis. The studies included 16,344 implant placements with 786 failures (4.8%). Implants were analyzed according to the time of failure (i.e., before or after prosthesis seating) and risk factors implicated in the failures. RESULTS The total rate of failures was 4.8%. Implants 3.75 mm wide and 7 mm long failed at a rate of 9.7%, compared to 6.3% for 3.75 x 10-mm implants. It was found that 54.9% of failures occurred before the prosthesis connection. Finally, 66.7% of all failures were attributed to poor bone quality, 45.4% to the location (maxilla or mandible), 27.2% to occlusal overload, 24.2% to location within the jaw, and 15.1% to infections (an implant could be associated with multiple risk factors). DISCUSSION The analysis revealed that among the risk factors, poor bone quality in association with short implants seemed to be relevant to failure. The use of implants 4 mm in diameter appeared to minimize failure in these situations. The 3.75 x 7-mm implant presented the highest failure rate (9.7%) of 1894 implants analyzed (excluding implant designs with higher failure rates but few total implants). CONCLUSION Short implants should be considered as an alternative to advanced bone augmentation surgeries, since surgeries can involve higher morbidity, require extended clinical periods, and involve higher costs to the patient.","author":[{"dropping-particle":"","family":"Neves","given":"F.D.","non-dropping-particle":"das","parse-names":false,"suffix":""},{"dropping-particle":"","family":"Fones","given":"D.","non-dropping-particle":"","parse-names":false,"suffix":""},{"dropping-particle":"","family":"Bernardes","given":"S.R.","non-dropping-particle":"","parse-names":false,"suffix":""},{"dropping-particle":"","family":"Prado","given":"C.J.","non-dropping-particle":"do","parse-names":false,"suffix":""},{"dropping-particle":"","family":"Neto","given":"A.J.","non-dropping-particle":"","parse-names":false,"suffix":""}],"container-title":"The Journal of Prosthetic Dentistry","id":"ITEM-1","issued":{"date-parts":[["2006"]]},"title":"Short implants—an analysis of longitudinal studies","type":"article-journal"},"uris":["http://www.mendeley.com/documents/?uuid=43a98603-7b55-39b4-8f53-5abb7930f51b"]}],"mendeley":{"formattedCitation":"(7)","plainTextFormattedCitation":"(7)","previouslyFormattedCitation":"(7)"},"properties":{"noteIndex":0},"schema":"https://github.com/citation-style-language/schema/raw/master/csl-citation.json"}</w:instrText>
      </w:r>
      <w:r w:rsidR="008A119C">
        <w:fldChar w:fldCharType="separate"/>
      </w:r>
      <w:r w:rsidR="008A119C" w:rsidRPr="008A119C">
        <w:rPr>
          <w:noProof/>
        </w:rPr>
        <w:t>(7)</w:t>
      </w:r>
      <w:r w:rsidR="008A119C">
        <w:fldChar w:fldCharType="end"/>
      </w:r>
      <w:r w:rsidR="008A119C">
        <w:t xml:space="preserve">. </w:t>
      </w:r>
      <w:r w:rsidRPr="004836AF">
        <w:t xml:space="preserve">Otros consideran que son los que tienen un largo </w:t>
      </w:r>
      <w:proofErr w:type="spellStart"/>
      <w:r w:rsidRPr="004836AF">
        <w:t>intra</w:t>
      </w:r>
      <w:proofErr w:type="spellEnd"/>
      <w:r w:rsidRPr="004836AF">
        <w:t xml:space="preserve"> óseo de </w:t>
      </w:r>
      <w:proofErr w:type="spellStart"/>
      <w:r w:rsidRPr="004836AF">
        <w:t>8mm</w:t>
      </w:r>
      <w:proofErr w:type="spellEnd"/>
      <w:r w:rsidRPr="004836AF">
        <w:t xml:space="preserve"> o menos . Espósito y </w:t>
      </w:r>
      <w:proofErr w:type="spellStart"/>
      <w:r w:rsidRPr="004836AF">
        <w:t>Felice</w:t>
      </w:r>
      <w:proofErr w:type="spellEnd"/>
      <w:r w:rsidRPr="004836AF">
        <w:t xml:space="preserve"> </w:t>
      </w:r>
      <w:r w:rsidR="00105FD1">
        <w:t xml:space="preserve">en sus publicaciones de 2014 </w:t>
      </w:r>
      <w:r w:rsidRPr="004836AF">
        <w:t xml:space="preserve">evalúan las definiciones y determinan un rango de </w:t>
      </w:r>
      <w:proofErr w:type="spellStart"/>
      <w:r w:rsidRPr="004836AF">
        <w:t>5,5mm</w:t>
      </w:r>
      <w:proofErr w:type="spellEnd"/>
      <w:r w:rsidRPr="004836AF">
        <w:t xml:space="preserve"> a </w:t>
      </w:r>
      <w:proofErr w:type="spellStart"/>
      <w:r w:rsidRPr="004836AF">
        <w:t>8,5mm</w:t>
      </w:r>
      <w:proofErr w:type="spellEnd"/>
      <w:r w:rsidRPr="004836AF">
        <w:t xml:space="preserve"> </w:t>
      </w:r>
      <w:r w:rsidR="00105FD1">
        <w:fldChar w:fldCharType="begin" w:fldLock="1"/>
      </w:r>
      <w:r w:rsidR="00105FD1">
        <w:instrText>ADDIN CSL_CITATION {"citationItems":[{"id":"ITEM-1","itemData":{"ISSN":"2631-6439","PMID":"31116187","abstract":"PURPOSE To evaluate whether 5 × 5 mm dental implants with a novel nanostructured calcium-incorporated titanium surface could be an alternative to implants at least 10-mm long placed in bone augmented with bone substitutes in posterior atrophic jaws. MATERIALS AND METHODS Forty patients with atrophic posterior (premolar and molar areas) mandibles having 5- to 7-mm bone height above the mandibular canal, and 40 patients with atrophic maxillae having 4- to 6-mm bone height below the maxillary sinus, were randomised according to a parallel-group design to receive one to three 5-mm implants or one to three at least 10-mm long implants in augmented bone at two centres. All implants had a diameter of 5 mm. Mandibles were vertically augmented with interpositional bovine bone blocks covered with resorbable barriers. Implants were placed after 4 months. Maxillary sinuses were augmented with particulated porcine bone via a lateral window covered with resorbable barriers and implants were placed simultaneously. All implants were submerged and loaded after 4 months with provisional prostheses. Four months later, definitive screw-retained or provisionally cemented metal-ceramic or zirconia prostheses were delivered. Patients were followed to 5 years post-loading and the outcome measures were: prosthesis and implant failures, any complication and peri-implant marginal bone level changes. RESULTS Sixteen patients dropped out before the 5-year evaluation (four short mandibles, three short maxillae, six augmented mandibles and three augmented maxillae). In mandibles, two grafted patients were not prosthetically rehabilitated because of multiple complications, and three implants failed in the same patient (one was a replacement implant) versus one patient who lost his short implant and crown 2 years after loading. In maxillae one short implant failed with its provisional crown 3 months post-loading. There were no statistically significant differences in prostheses (difference in proportion = -0.003; 95% CI: -0.14 to 0.13; P = 1.000) and implant failures (difference in proportion = -0.03; 95% CI: -0.17 to 0.09; P = 0.609) up to 5 years after loading. Significantly more complications occurred at mandibular grafted sites: 17 augmented patients were affected by complications versus nine patients treated with short implants in mandibles (difference in proportion = 0.39; 95% CI: 0.10 to 0.62; P = 0.013). In the maxilla seven sinus-elevated patients versus two patients treated w…","author":[{"dropping-particle":"","family":"Esposito","given":"Marco","non-dropping-particle":"","parse-names":false,"suffix":""},{"dropping-particle":"","family":"Barausse","given":"Carlo","non-dropping-particle":"","parse-names":false,"suffix":""},{"dropping-particle":"","family":"Pistilli","given":"Roberto","non-dropping-particle":"","parse-names":false,"suffix":""},{"dropping-particle":"","family":"Piattelli","given":"Maurizio","non-dropping-particle":"","parse-names":false,"suffix":""},{"dropping-particle":"","family":"Simone","given":"Salvatore","non-dropping-particle":"Di","parse-names":false,"suffix":""},{"dropping-particle":"","family":"Ippolito","given":"Daniela Rita","non-dropping-particle":"","parse-names":false,"suffix":""},{"dropping-particle":"","family":"Felice","given":"Pietro","non-dropping-particle":"","parse-names":false,"suffix":""}],"container-title":"International journal of oral implantology (New Malden, London, England)","id":"ITEM-1","issue":"1","issued":{"date-parts":[["2019"]]},"page":"39-54","title":"Posterior atrophic jaws rehabilitated with prostheses supported by 5 × 5 mm implants with a nanostructured calcium-incorporated titanium surface or by longer implants in augmented bone. Five-year results from a randomised controlled trial.","type":"article-journal","volume":"12"},"uris":["http://www.mendeley.com/documents/?uuid=e4b813c7-a6fc-4f31-95bc-f37f7ebf4329"]}],"mendeley":{"formattedCitation":"(8)","plainTextFormattedCitation":"(8)","previouslyFormattedCitation":"(8)"},"properties":{"noteIndex":0},"schema":"https://github.com/citation-style-language/schema/raw/master/csl-citation.json"}</w:instrText>
      </w:r>
      <w:r w:rsidR="00105FD1">
        <w:fldChar w:fldCharType="separate"/>
      </w:r>
      <w:r w:rsidR="00105FD1" w:rsidRPr="00105FD1">
        <w:rPr>
          <w:noProof/>
        </w:rPr>
        <w:t>(8)</w:t>
      </w:r>
      <w:r w:rsidR="00105FD1">
        <w:fldChar w:fldCharType="end"/>
      </w:r>
      <w:r w:rsidR="00105FD1">
        <w:fldChar w:fldCharType="begin" w:fldLock="1"/>
      </w:r>
      <w:r w:rsidR="00105FD1">
        <w:instrText>ADDIN CSL_CITATION {"citationItems":[{"id":"ITEM-1","itemData":{"ISSN":"1756-2406","PMID":"30515480","abstract":"PURPOSE To evaluate whether 6.6-mm long implants could be a suitable alternative to longer implants placed in vertically augmented atrophic posterior mandibles. MATERIALS AND METHODS Sixty partially edentulous patients having 7 to 8 mm of residual crestal height and at least 5.5-mm thickness measured on computed tomography scans above the mandibular canal were randomly allocated according to a parallel-group design either to receive one to three submerged 6.6-mm long implants or 9.6-mm or longer implants (30 patients per group) placed in vertically augmented bone. Bone was augmented with interpositional anorganic bovine bone blocks fixed with titanium plates and covered with resorbable barriers. Grafts were left to heal for 5 months before implant placement. Four months after implant placement, provisional acrylic prostheses were delivered, replaced, after 4 months, by definitive metal-ceramic prostheses. Outcome measures were: prosthesis and implant failures, complications, and radiographic peri-implant marginal bone level changes. Patients were followed up to 8 years after loading. RESULTS Eight years after loading 12 patients dropped out, five from the short implant group and seven from the augmented group. The augmentation procedure failed in two patients and only 6.6-mm long implants could be inserted. There were no statistically significant differences for prosthesis and implant failures. Four prostheses failed in three patients of the short implant group versus three prostheses in three patients of the augmented group (Fisher exact test P = 1.000; difference in proportions = 0.01; 95% CI: -0.19 to 0.22). Five short implants failed in three patients versus three long implants in three patients (Fisher exact test P = 1.000; difference in proportions = 0.01; 95% CI: -0.19 to 0.22). There were statistically more complications in augmented patients (27 complications in 22 augmented patients versus 9 complications in 8 patients of the short implant group) (Fisher exact test P &lt; 0.001; difference in proportions = 0.64; 95% CI: 0.38 to 0.79). Both groups gradually lost peri-implant bone in a statistically significant way. Eight years after loading, short implant group patients lost an average of 1.58 mm of peri-implant bone compared with 2.46 mm in the augmented group. Short implants experienced statistically significantly less bone loss (0.88 mm, 95% CI: 0.50 to 1.26 mm) than long implants. CONCLUSIONS When residual bone height over the mandibular canal…","author":[{"dropping-particle":"","family":"Felice","given":"Pietro","non-dropping-particle":"","parse-names":false,"suffix":""},{"dropping-particle":"","family":"Barausse","given":"Carlo","non-dropping-particle":"","parse-names":false,"suffix":""},{"dropping-particle":"","family":"Pistilli","given":"Roberto","non-dropping-particle":"","parse-names":false,"suffix":""},{"dropping-particle":"","family":"Ippolito","given":"Daniela Rita","non-dropping-particle":"","parse-names":false,"suffix":""},{"dropping-particle":"","family":"Esposito","given":"Marco","non-dropping-particle":"","parse-names":false,"suffix":""}],"container-title":"European journal of oral implantology","id":"ITEM-1","issue":"4","issued":{"date-parts":[["2018"]]},"page":"385-395","title":"Short implants versus longer implants in vertically augmented posterior mandibles: result at 8 years after loading from a randomised controlled trial.","type":"article-journal","volume":"11"},"uris":["http://www.mendeley.com/documents/?uuid=ed26dbc1-59ff-4b12-8beb-3acf024de40d"]}],"mendeley":{"formattedCitation":"(9)","plainTextFormattedCitation":"(9)","previouslyFormattedCitation":"(9)"},"properties":{"noteIndex":0},"schema":"https://github.com/citation-style-language/schema/raw/master/csl-citation.json"}</w:instrText>
      </w:r>
      <w:r w:rsidR="00105FD1">
        <w:fldChar w:fldCharType="separate"/>
      </w:r>
      <w:r w:rsidR="00105FD1" w:rsidRPr="00105FD1">
        <w:rPr>
          <w:noProof/>
        </w:rPr>
        <w:t>(9)</w:t>
      </w:r>
      <w:r w:rsidR="00105FD1">
        <w:fldChar w:fldCharType="end"/>
      </w:r>
      <w:r w:rsidR="00105FD1">
        <w:t>.</w:t>
      </w:r>
      <w:r w:rsidRPr="004836AF">
        <w:t xml:space="preserve"> </w:t>
      </w:r>
      <w:r w:rsidR="00105FD1">
        <w:t>Los implantes cortos s</w:t>
      </w:r>
      <w:r w:rsidRPr="004836AF">
        <w:t>on considerados efectivos en pacientes con mandíbulas posteriores atróficas, bien tolerados por los pacientes</w:t>
      </w:r>
      <w:r w:rsidR="004B358B">
        <w:t>.</w:t>
      </w:r>
      <w:r w:rsidRPr="004836AF">
        <w:t xml:space="preserve"> </w:t>
      </w:r>
      <w:r w:rsidR="004B358B">
        <w:t>E</w:t>
      </w:r>
      <w:r w:rsidRPr="004836AF">
        <w:t>l tiempo de tratamiento en comparación con técnicas regenerativas es menor, más barato y con menor morbilidad</w:t>
      </w:r>
      <w:r w:rsidR="00105FD1">
        <w:t xml:space="preserve"> </w:t>
      </w:r>
      <w:r w:rsidR="00105FD1">
        <w:fldChar w:fldCharType="begin" w:fldLock="1"/>
      </w:r>
      <w:r w:rsidR="00105FD1">
        <w:instrText>ADDIN CSL_CITATION {"citationItems":[{"id":"ITEM-1","itemData":{"DOI":"10.1111/clr.12704","ISSN":"16000501","abstract":"© 2015 John Wiley &amp; Sons A/S. Published by John Wiley &amp; Sons LtdObjective: The aim of this research was to evaluate the primary stability, the marginal bone loss, the survival, and the success criteria, of 4-mm-length implants compared with implants of conventional length supporting fixed prostheses. Materials and Methods: Ten patients were selected for treatment of their atrophic edentulous jaws. Each patient received the following treatment: six dental implants were inserted, two anterior implants of conventional length (10-mm) in the interforaminal area and four posterior short implants of 4-mm length (Standard Plus, Roxolid, SLActive, Institut Straumann AG). The implants supported screw-retained fixed complete dentures. Examinations were conducted at day 0, three, six, and twelve months after surgery for the evaluation of the implant primary stability, secondary stability, crestal bone loss and survival by clinical evaluations, insertion torque values, resonance frequency analysis (RFA), and periapical radiography, respectively. Results: Sixty implants were inserted in ten patients. Mean insertion torque was slightly lower for 4-mm implants than 10-mm implants (38.1 Ncm vs. 42.2 Ncm) but without statistically significant difference. Implant stability was similar for extrashort and conventional implants. Marginal bone loss was similar for both groups for all the time periods. One short implant was lost before loading. The survival rates twelve months after implant placement were of 97.5% and 100% for short and conventional implants, respectively. Similarly, implant stability as measured by RFA was nonsignificantly lower for the 4-mm implants compared to the 10-mm implants. The marginal bone loss was lower for short implants three, six, and twelve months after the surgery without statistical significant difference. Conclusions: Within the limitations of this study, we conclude that short dental implants (8 mm or less in length) supporting single crowns or fixed bridges are a feasible treatment option with radiographic and clinical success rates similar to longer implants for patients with compromised ridges. Long-term data with larger number of implants and subjects are needed to confirm these preliminary results.","author":[{"dropping-particle":"","family":"Calvo-Guirado","given":"José Luis","non-dropping-particle":"","parse-names":false,"suffix":""},{"dropping-particle":"","family":"López Torres","given":"José Alberto","non-dropping-particle":"","parse-names":false,"suffix":""},{"dropping-particle":"","family":"Dard","given":"Michel","non-dropping-particle":"","parse-names":false,"suffix":""},{"dropping-particle":"","family":"Javed","given":"Fawad","non-dropping-particle":"","parse-names":false,"suffix":""},{"dropping-particle":"","family":"Pérez-Albacete Martínez","given":"Carlos","non-dropping-particle":"","parse-names":false,"suffix":""},{"dropping-particle":"","family":"Maté Sánchez de Val","given":"José Eduardo","non-dropping-particle":"","parse-names":false,"suffix":""}],"container-title":"Clinical Oral Implants Research","id":"ITEM-1","issued":{"date-parts":[["2016"]]},"title":"Evaluation of extrashort 4-mm implants in mandibular edentulous patients with reduced bone height in comparison with standard implants: a 12-month results","type":"article-journal"},"uris":["http://www.mendeley.com/documents/?uuid=4547c802-5ee6-3412-b05c-320aece2abc3"]}],"mendeley":{"formattedCitation":"(6)","plainTextFormattedCitation":"(6)","previouslyFormattedCitation":"(6)"},"properties":{"noteIndex":0},"schema":"https://github.com/citation-style-language/schema/raw/master/csl-citation.json"}</w:instrText>
      </w:r>
      <w:r w:rsidR="00105FD1">
        <w:fldChar w:fldCharType="separate"/>
      </w:r>
      <w:r w:rsidR="00105FD1" w:rsidRPr="00105FD1">
        <w:rPr>
          <w:noProof/>
        </w:rPr>
        <w:t>(6)</w:t>
      </w:r>
      <w:r w:rsidR="00105FD1">
        <w:fldChar w:fldCharType="end"/>
      </w:r>
      <w:r w:rsidRPr="004836AF">
        <w:t xml:space="preserve">. </w:t>
      </w:r>
    </w:p>
    <w:p w14:paraId="499EF211" w14:textId="037BA6A2" w:rsidR="005E334C" w:rsidRPr="004836AF" w:rsidRDefault="00117609" w:rsidP="00105FD1">
      <w:pPr>
        <w:spacing w:line="360" w:lineRule="auto"/>
        <w:ind w:right="1"/>
        <w:jc w:val="both"/>
      </w:pPr>
      <w:proofErr w:type="spellStart"/>
      <w:r w:rsidRPr="004836AF">
        <w:t>Felice</w:t>
      </w:r>
      <w:proofErr w:type="spellEnd"/>
      <w:r w:rsidRPr="004836AF">
        <w:t xml:space="preserve"> en 2014 publica el primer artículo </w:t>
      </w:r>
      <w:r w:rsidR="004B358B">
        <w:t>con formato de</w:t>
      </w:r>
      <w:r w:rsidRPr="004836AF">
        <w:t xml:space="preserve"> estudio clínico controlado aleatorizado (ECCA) </w:t>
      </w:r>
      <w:r w:rsidR="004E6F4E">
        <w:t>utilizando</w:t>
      </w:r>
      <w:r w:rsidRPr="004836AF">
        <w:t xml:space="preserve"> implantes cortos con seguimiento a 5 años donde compara implantes cortos con aumento vertical con matr</w:t>
      </w:r>
      <w:r w:rsidR="004E6F4E">
        <w:t>i</w:t>
      </w:r>
      <w:r w:rsidRPr="004836AF">
        <w:t xml:space="preserve">z de hueso bovino </w:t>
      </w:r>
      <w:proofErr w:type="spellStart"/>
      <w:r w:rsidRPr="004836AF">
        <w:t>desproteinizado</w:t>
      </w:r>
      <w:proofErr w:type="spellEnd"/>
      <w:r w:rsidRPr="004836AF">
        <w:t xml:space="preserve"> (MHBD) interpuesto colocados en mandíbula atrófica con una altura residual de </w:t>
      </w:r>
      <w:proofErr w:type="spellStart"/>
      <w:r w:rsidRPr="004836AF">
        <w:t>7mm</w:t>
      </w:r>
      <w:proofErr w:type="spellEnd"/>
      <w:r w:rsidRPr="004836AF">
        <w:t xml:space="preserve"> a </w:t>
      </w:r>
      <w:proofErr w:type="spellStart"/>
      <w:r w:rsidRPr="004836AF">
        <w:t>8mm</w:t>
      </w:r>
      <w:proofErr w:type="spellEnd"/>
      <w:r w:rsidRPr="004836AF">
        <w:t xml:space="preserve"> sobre el conducto dentario inferior. Encontró que ambas técnicas mostraron similares resultados. Los implantes cortos lo hicieron en menos tiempo, con menor costo y morbilidad. Una cirugía adicional a los 5 meses fue requerida para el grupo de aumento vertical. Vieron que la mayor desventaja de los implantes cortos era la pérdida ósea marginal. A los 5 años de cargados los implantes de </w:t>
      </w:r>
      <w:proofErr w:type="spellStart"/>
      <w:r w:rsidRPr="004836AF">
        <w:t>6,6mm</w:t>
      </w:r>
      <w:proofErr w:type="spellEnd"/>
      <w:r w:rsidRPr="004836AF">
        <w:t xml:space="preserve"> eran soportados por solamente </w:t>
      </w:r>
      <w:proofErr w:type="spellStart"/>
      <w:r w:rsidRPr="004836AF">
        <w:t>4,4mm</w:t>
      </w:r>
      <w:proofErr w:type="spellEnd"/>
      <w:r w:rsidRPr="004836AF">
        <w:t xml:space="preserve"> de hueso, </w:t>
      </w:r>
      <w:proofErr w:type="spellStart"/>
      <w:r w:rsidRPr="004836AF">
        <w:t>2,2mm</w:t>
      </w:r>
      <w:proofErr w:type="spellEnd"/>
      <w:r w:rsidRPr="004836AF">
        <w:t xml:space="preserve"> de hueso fue perdiéndose gradualmente. Si la pérdida ósea progresa</w:t>
      </w:r>
      <w:r w:rsidR="004E6F4E">
        <w:t>ra</w:t>
      </w:r>
      <w:r w:rsidRPr="004836AF">
        <w:t xml:space="preserve"> los implantes cortos tendrían un riesgo mayor de pérdida prematura. Por lo que concluyen que es una opción comparable con implantes largos en hueso regenerado y que son necesarios estudios a 10 años para hacer declaraciones definitivas al respecto.</w:t>
      </w:r>
      <w:r w:rsidR="00105FD1">
        <w:fldChar w:fldCharType="begin" w:fldLock="1"/>
      </w:r>
      <w:r w:rsidR="00325C49">
        <w:instrText>ADDIN CSL_CITATION {"citationItems":[{"id":"ITEM-1","itemData":{"ISSN":"1756-2406","PMID":"30515480","abstract":"PURPOSE To evaluate whether 6.6-mm long implants could be a suitable alternative to longer implants placed in vertically augmented atrophic posterior mandibles. MATERIALS AND METHODS Sixty partially edentulous patients having 7 to 8 mm of residual crestal height and at least 5.5-mm thickness measured on computed tomography scans above the mandibular canal were randomly allocated according to a parallel-group design either to receive one to three submerged 6.6-mm long implants or 9.6-mm or longer implants (30 patients per group) placed in vertically augmented bone. Bone was augmented with interpositional anorganic bovine bone blocks fixed with titanium plates and covered with resorbable barriers. Grafts were left to heal for 5 months before implant placement. Four months after implant placement, provisional acrylic prostheses were delivered, replaced, after 4 months, by definitive metal-ceramic prostheses. Outcome measures were: prosthesis and implant failures, complications, and radiographic peri-implant marginal bone level changes. Patients were followed up to 8 years after loading. RESULTS Eight years after loading 12 patients dropped out, five from the short implant group and seven from the augmented group. The augmentation procedure failed in two patients and only 6.6-mm long implants could be inserted. There were no statistically significant differences for prosthesis and implant failures. Four prostheses failed in three patients of the short implant group versus three prostheses in three patients of the augmented group (Fisher exact test P = 1.000; difference in proportions = 0.01; 95% CI: -0.19 to 0.22). Five short implants failed in three patients versus three long implants in three patients (Fisher exact test P = 1.000; difference in proportions = 0.01; 95% CI: -0.19 to 0.22). There were statistically more complications in augmented patients (27 complications in 22 augmented patients versus 9 complications in 8 patients of the short implant group) (Fisher exact test P &lt; 0.001; difference in proportions = 0.64; 95% CI: 0.38 to 0.79). Both groups gradually lost peri-implant bone in a statistically significant way. Eight years after loading, short implant group patients lost an average of 1.58 mm of peri-implant bone compared with 2.46 mm in the augmented group. Short implants experienced statistically significantly less bone loss (0.88 mm, 95% CI: 0.50 to 1.26 mm) than long implants. CONCLUSIONS When residual bone height over the mandibular canal…","author":[{"dropping-particle":"","family":"Felice","given":"Pietro","non-dropping-particle":"","parse-names":false,"suffix":""},{"dropping-particle":"","family":"Barausse","given":"Carlo","non-dropping-particle":"","parse-names":false,"suffix":""},{"dropping-particle":"","family":"Pistilli","given":"Roberto","non-dropping-particle":"","parse-names":false,"suffix":""},{"dropping-particle":"","family":"Ippolito","given":"Daniela Rita","non-dropping-particle":"","parse-names":false,"suffix":""},{"dropping-particle":"","family":"Esposito","given":"Marco","non-dropping-particle":"","parse-names":false,"suffix":""}],"container-title":"European journal of oral implantology","id":"ITEM-1","issue":"4","issued":{"date-parts":[["2018"]]},"page":"385-395","title":"Short implants versus longer implants in vertically augmented posterior mandibles: result at 8 years after loading from a randomised controlled trial.","type":"article-journal","volume":"11"},"uris":["http://www.mendeley.com/documents/?uuid=ed26dbc1-59ff-4b12-8beb-3acf024de40d"]}],"mendeley":{"formattedCitation":"(9)","plainTextFormattedCitation":"(9)","previouslyFormattedCitation":"(9)"},"properties":{"noteIndex":0},"schema":"https://github.com/citation-style-language/schema/raw/master/csl-citation.json"}</w:instrText>
      </w:r>
      <w:r w:rsidR="00105FD1">
        <w:fldChar w:fldCharType="separate"/>
      </w:r>
      <w:r w:rsidR="00105FD1" w:rsidRPr="00105FD1">
        <w:rPr>
          <w:noProof/>
        </w:rPr>
        <w:t>(9)</w:t>
      </w:r>
      <w:r w:rsidR="00105FD1">
        <w:fldChar w:fldCharType="end"/>
      </w:r>
    </w:p>
    <w:p w14:paraId="71B95256" w14:textId="637055C6" w:rsidR="005E334C" w:rsidRPr="004836AF" w:rsidRDefault="00117609" w:rsidP="004836AF">
      <w:pPr>
        <w:spacing w:line="360" w:lineRule="auto"/>
        <w:ind w:right="1"/>
        <w:jc w:val="both"/>
      </w:pPr>
      <w:r w:rsidRPr="004836AF">
        <w:t xml:space="preserve">La literatura sobre </w:t>
      </w:r>
      <w:r w:rsidR="00325C49">
        <w:t xml:space="preserve">la indicación </w:t>
      </w:r>
      <w:r w:rsidR="00105FD1">
        <w:t xml:space="preserve"> y pronóstico a largo plazo de </w:t>
      </w:r>
      <w:r w:rsidRPr="004836AF">
        <w:t xml:space="preserve">implantes cortos no es concluyente. Mientras estudios como los de </w:t>
      </w:r>
      <w:proofErr w:type="spellStart"/>
      <w:r w:rsidRPr="004836AF">
        <w:t>Omran</w:t>
      </w:r>
      <w:proofErr w:type="spellEnd"/>
      <w:r w:rsidR="00325C49">
        <w:t xml:space="preserve">  y </w:t>
      </w:r>
      <w:proofErr w:type="spellStart"/>
      <w:r w:rsidR="00325C49">
        <w:t>coloaboradores</w:t>
      </w:r>
      <w:proofErr w:type="spellEnd"/>
      <w:r w:rsidR="00325C49">
        <w:t xml:space="preserve"> </w:t>
      </w:r>
      <w:r w:rsidR="00325C49">
        <w:fldChar w:fldCharType="begin" w:fldLock="1"/>
      </w:r>
      <w:r w:rsidR="00325C49">
        <w:instrText>ADDIN CSL_CITATION {"citationItems":[{"id":"ITEM-1","itemData":{"DOI":"10.1097/ID.0000000000000229","ISSN":"10566163","abstract":"PURPOSE:: The aim of this study was to determine the survival rate of short implants that were placed in a residency program. In addition, the potential influence of diabetes, smoking, sinus grafting, guided bone regeneration, and implant type on survival was analyzed. METHODS:: Through a retrospective chart review, patient information and parameters for short implants being equal or less than 10 mm and regular implants being more than 10 mm were collected. The cumulative survival rate and implant and patient information from 213 consecutively placed implants from May 2002 through October 2011 were analyzed. RESULTS:: The average survival time for short implants was 47.3 months, with a range of 6 to 141 months. The implant survival rate was 95.77% for short implants, which was not statistically significant from the regular implants. Smoking had a statistically significant negative effect on the survival rate of short implants. No statistical differences were found with implant survival rates for other factors. CONCLUSION:: It can be concluded that short implants can be predictably placed in the mouth with a high survival rate and that smoking has a negative influence on the survival rate of the short implants.","author":[{"dropping-particle":"","family":"Omran","given":"Mohamed Tarek A.","non-dropping-particle":"","parse-names":false,"suffix":""},{"dropping-particle":"","family":"Miley","given":"Douglas D.","non-dropping-particle":"","parse-names":false,"suffix":""},{"dropping-particle":"","family":"McLeod","given":"Dwight E.","non-dropping-particle":"","parse-names":false,"suffix":""},{"dropping-particle":"","family":"Garcia","given":"M. Nathalia","non-dropping-particle":"","parse-names":false,"suffix":""}],"container-title":"Implant Dentistry","id":"ITEM-1","issued":{"date-parts":[["2015"]]},"title":"Retrospective assessment of survival rate for short endosseous dental implants","type":"article-journal"},"uris":["http://www.mendeley.com/documents/?uuid=7aaa1d38-90e7-39cd-8ce7-3d9b917bb856"]}],"mendeley":{"formattedCitation":"(10)","plainTextFormattedCitation":"(10)","previouslyFormattedCitation":"(10)"},"properties":{"noteIndex":0},"schema":"https://github.com/citation-style-language/schema/raw/master/csl-citation.json"}</w:instrText>
      </w:r>
      <w:r w:rsidR="00325C49">
        <w:fldChar w:fldCharType="separate"/>
      </w:r>
      <w:r w:rsidR="00325C49" w:rsidRPr="00325C49">
        <w:rPr>
          <w:noProof/>
        </w:rPr>
        <w:t>(10)</w:t>
      </w:r>
      <w:r w:rsidR="00325C49">
        <w:fldChar w:fldCharType="end"/>
      </w:r>
      <w:r w:rsidRPr="004836AF">
        <w:t xml:space="preserve"> encuentran resultados favorables en t</w:t>
      </w:r>
      <w:r w:rsidR="00325C49">
        <w:t>é</w:t>
      </w:r>
      <w:r w:rsidRPr="004836AF">
        <w:t xml:space="preserve">rminos de sobrevida, autores </w:t>
      </w:r>
      <w:proofErr w:type="spellStart"/>
      <w:r w:rsidRPr="004836AF">
        <w:t>com</w:t>
      </w:r>
      <w:proofErr w:type="spellEnd"/>
      <w:r w:rsidRPr="004836AF">
        <w:t xml:space="preserve"> </w:t>
      </w:r>
      <w:proofErr w:type="spellStart"/>
      <w:r w:rsidRPr="004836AF">
        <w:t>Queiroz</w:t>
      </w:r>
      <w:proofErr w:type="spellEnd"/>
      <w:r w:rsidRPr="004836AF">
        <w:t xml:space="preserve"> obtienen tasas menores (87,5% en </w:t>
      </w:r>
      <w:r w:rsidR="004E6F4E">
        <w:t>implantes cortos</w:t>
      </w:r>
      <w:r w:rsidRPr="004836AF">
        <w:t xml:space="preserve"> </w:t>
      </w:r>
      <w:r w:rsidR="004E6F4E">
        <w:t>y</w:t>
      </w:r>
      <w:r w:rsidRPr="004836AF">
        <w:t xml:space="preserve"> 100% en implantes </w:t>
      </w:r>
      <w:proofErr w:type="spellStart"/>
      <w:r w:rsidRPr="004836AF">
        <w:t>estandar</w:t>
      </w:r>
      <w:proofErr w:type="spellEnd"/>
      <w:r w:rsidRPr="004836AF">
        <w:t xml:space="preserve"> a los 90 días)</w:t>
      </w:r>
      <w:r w:rsidR="00325C49">
        <w:fldChar w:fldCharType="begin" w:fldLock="1"/>
      </w:r>
      <w:r w:rsidR="00325C49">
        <w:instrText>ADDIN CSL_CITATION {"citationItems":[{"id":"ITEM-1","itemData":{"DOI":"10.1111/clr.12394","ISSN":"16000501","abstract":"OBJECTIVE: Short implants are increasingly used, but there is doubt about their performance being similar to that of regular implants. The aim of this study was to compare the mechanical stability of short implants vs. regular implants placed in the edentulous posterior mandible.\\n\\nMATERIAL AND METHODS: Twenty-three patients received a total of 48 short implants (5 × 5.5 mm and 5 × 7 mm) and 42 regular implants (4 × 10 mm and 4 × 11.5 mm) in the posterior mandible. Patients who received short implants had &lt;10 mm of bone height measured from the bone crest to the outer wall of the mandibular canal. Resonance frequency analysis (RFA) was performed at time intervals T0 (immediately after implant placement), T1 (after 15 days), T2 (after 30 days), T3 (after 60 days), and T4 (after 90 days).\\n\\nRESULTS: The survival rate after 90 days was 87.5% for the short implants and 100% for regular implants (P &lt; 0.05). There was no significant difference between the implants in time intervals T1, T2, T3, and T4. In T0, the RFA values of 5 × 5.5 implants were higher than values of 5 × 7 and 4 × 11.5 implants (P &lt; 0.05). A total of six short implants that were placed in four patients were lost (three of 5 × 5.5 mm and three of 5 × 7 mm). Three lost implants started with high ISQ values, which progressively decreased. The other three lost implants started with a slightly lower ISQ value, which rose and then began to fall.\\n\\nCONCLUSIONS: Survival rate of short implants after 90 days was lower than that of regular implants. However, short implants may be considered a reasonable alternative for rehabilitation of severely resorbed mandibles with reduced height, to avoid performing bone reconstruction before implant placement. Patients need to be aware of the reduced survival rate compared with regular implants before implant placement to avoid disappointments.","author":[{"dropping-particle":"","family":"Queiroz","given":"Thallita P.","non-dropping-particle":"","parse-names":false,"suffix":""},{"dropping-particle":"","family":"Aguiar","given":"Samuel C.","non-dropping-particle":"","parse-names":false,"suffix":""},{"dropping-particle":"","family":"Margonar","given":"Rogério","non-dropping-particle":"","parse-names":false,"suffix":""},{"dropping-particle":"","family":"Souza Faloni","given":"Ana P.","non-dropping-particle":"de","parse-names":false,"suffix":""},{"dropping-particle":"","family":"Gruber","given":"Reinhard","non-dropping-particle":"","parse-names":false,"suffix":""},{"dropping-particle":"","family":"Luvizuto","given":"Eloá R.","non-dropping-particle":"","parse-names":false,"suffix":""}],"container-title":"Clinical Oral Implants Research","id":"ITEM-1","issue":"9","issued":{"date-parts":[["2015"]]},"page":"1036-1042","title":"Clinical study on survival rate of short implants placed in the posterior mandibular region: Resonance frequency analysis","type":"article-journal","volume":"26"},"uris":["http://www.mendeley.com/documents/?uuid=91a2562a-0c2c-4f0a-91e5-2871315f1902"]}],"mendeley":{"formattedCitation":"(11)","plainTextFormattedCitation":"(11)","previouslyFormattedCitation":"(11)"},"properties":{"noteIndex":0},"schema":"https://github.com/citation-style-language/schema/raw/master/csl-citation.json"}</w:instrText>
      </w:r>
      <w:r w:rsidR="00325C49">
        <w:fldChar w:fldCharType="separate"/>
      </w:r>
      <w:r w:rsidR="00325C49" w:rsidRPr="00325C49">
        <w:rPr>
          <w:noProof/>
        </w:rPr>
        <w:t>(11)</w:t>
      </w:r>
      <w:r w:rsidR="00325C49">
        <w:fldChar w:fldCharType="end"/>
      </w:r>
      <w:r w:rsidRPr="004836AF">
        <w:t>.</w:t>
      </w:r>
    </w:p>
    <w:p w14:paraId="6D98971D" w14:textId="67976950" w:rsidR="005E334C" w:rsidRPr="004836AF" w:rsidRDefault="00117609" w:rsidP="004836AF">
      <w:pPr>
        <w:spacing w:line="360" w:lineRule="auto"/>
        <w:ind w:right="1"/>
        <w:jc w:val="both"/>
      </w:pPr>
      <w:r w:rsidRPr="004836AF">
        <w:t xml:space="preserve"> La estrategia a seguir no esta clara en presencia de hueso residual mandibular con altura menor a </w:t>
      </w:r>
      <w:proofErr w:type="spellStart"/>
      <w:r w:rsidRPr="004836AF">
        <w:t>7mm</w:t>
      </w:r>
      <w:proofErr w:type="spellEnd"/>
      <w:r w:rsidRPr="004836AF">
        <w:t xml:space="preserve">. </w:t>
      </w:r>
      <w:r w:rsidR="00325C49">
        <w:fldChar w:fldCharType="begin" w:fldLock="1"/>
      </w:r>
      <w:r w:rsidR="00325C49">
        <w:instrText>ADDIN CSL_CITATION {"citationItems":[{"id":"ITEM-1","itemData":{"ISSN":"1756-2406","PMID":"30515480","abstract":"PURPOSE To evaluate whether 6.6-mm long implants could be a suitable alternative to longer implants placed in vertically augmented atrophic posterior mandibles. MATERIALS AND METHODS Sixty partially edentulous patients having 7 to 8 mm of residual crestal height and at least 5.5-mm thickness measured on computed tomography scans above the mandibular canal were randomly allocated according to a parallel-group design either to receive one to three submerged 6.6-mm long implants or 9.6-mm or longer implants (30 patients per group) placed in vertically augmented bone. Bone was augmented with interpositional anorganic bovine bone blocks fixed with titanium plates and covered with resorbable barriers. Grafts were left to heal for 5 months before implant placement. Four months after implant placement, provisional acrylic prostheses were delivered, replaced, after 4 months, by definitive metal-ceramic prostheses. Outcome measures were: prosthesis and implant failures, complications, and radiographic peri-implant marginal bone level changes. Patients were followed up to 8 years after loading. RESULTS Eight years after loading 12 patients dropped out, five from the short implant group and seven from the augmented group. The augmentation procedure failed in two patients and only 6.6-mm long implants could be inserted. There were no statistically significant differences for prosthesis and implant failures. Four prostheses failed in three patients of the short implant group versus three prostheses in three patients of the augmented group (Fisher exact test P = 1.000; difference in proportions = 0.01; 95% CI: -0.19 to 0.22). Five short implants failed in three patients versus three long implants in three patients (Fisher exact test P = 1.000; difference in proportions = 0.01; 95% CI: -0.19 to 0.22). There were statistically more complications in augmented patients (27 complications in 22 augmented patients versus 9 complications in 8 patients of the short implant group) (Fisher exact test P &lt; 0.001; difference in proportions = 0.64; 95% CI: 0.38 to 0.79). Both groups gradually lost peri-implant bone in a statistically significant way. Eight years after loading, short implant group patients lost an average of 1.58 mm of peri-implant bone compared with 2.46 mm in the augmented group. Short implants experienced statistically significantly less bone loss (0.88 mm, 95% CI: 0.50 to 1.26 mm) than long implants. CONCLUSIONS When residual bone height over the mandibular canal…","author":[{"dropping-particle":"","family":"Felice","given":"Pietro","non-dropping-particle":"","parse-names":false,"suffix":""},{"dropping-particle":"","family":"Barausse","given":"Carlo","non-dropping-particle":"","parse-names":false,"suffix":""},{"dropping-particle":"","family":"Pistilli","given":"Roberto","non-dropping-particle":"","parse-names":false,"suffix":""},{"dropping-particle":"","family":"Ippolito","given":"Daniela Rita","non-dropping-particle":"","parse-names":false,"suffix":""},{"dropping-particle":"","family":"Esposito","given":"Marco","non-dropping-particle":"","parse-names":false,"suffix":""}],"container-title":"European journal of oral implantology","id":"ITEM-1","issue":"4","issued":{"date-parts":[["2018"]]},"page":"385-395","title":"Short implants versus longer implants in vertically augmented posterior mandibles: result at 8 years after loading from a randomised controlled trial.","type":"article-journal","volume":"11"},"uris":["http://www.mendeley.com/documents/?uuid=ed26dbc1-59ff-4b12-8beb-3acf024de40d"]}],"mendeley":{"formattedCitation":"(9)","plainTextFormattedCitation":"(9)","previouslyFormattedCitation":"(9)"},"properties":{"noteIndex":0},"schema":"https://github.com/citation-style-language/schema/raw/master/csl-citation.json"}</w:instrText>
      </w:r>
      <w:r w:rsidR="00325C49">
        <w:fldChar w:fldCharType="separate"/>
      </w:r>
      <w:r w:rsidR="00325C49" w:rsidRPr="00325C49">
        <w:rPr>
          <w:noProof/>
        </w:rPr>
        <w:t>(9)</w:t>
      </w:r>
      <w:r w:rsidR="00325C49">
        <w:fldChar w:fldCharType="end"/>
      </w:r>
      <w:r w:rsidRPr="004836AF">
        <w:t xml:space="preserve">.  Según </w:t>
      </w:r>
      <w:proofErr w:type="spellStart"/>
      <w:r w:rsidRPr="004836AF">
        <w:t>Amorfini</w:t>
      </w:r>
      <w:proofErr w:type="spellEnd"/>
      <w:r w:rsidRPr="004836AF">
        <w:t xml:space="preserve"> Cuando la altura residual al canal mandibular es menor de </w:t>
      </w:r>
      <w:proofErr w:type="spellStart"/>
      <w:r w:rsidRPr="004836AF">
        <w:t>6mm</w:t>
      </w:r>
      <w:proofErr w:type="spellEnd"/>
      <w:r w:rsidRPr="004836AF">
        <w:t xml:space="preserve"> los procedimientos de aumento son necesarios y frecuenteme</w:t>
      </w:r>
      <w:r w:rsidR="004E6F4E">
        <w:t>n</w:t>
      </w:r>
      <w:r w:rsidRPr="004836AF">
        <w:t xml:space="preserve">te mejoran el resultado estético. </w:t>
      </w:r>
      <w:r w:rsidR="00325C49">
        <w:fldChar w:fldCharType="begin" w:fldLock="1"/>
      </w:r>
      <w:r w:rsidR="00325C49">
        <w:instrText>ADDIN CSL_CITATION {"citationItems":[{"id":"ITEM-1","itemData":{"DOI":"10.1111/cid.12040","ISSN":"17088208","abstract":"© 2014 Wiley Periodicals, Inc. Purpose: The aim of this randomized clinical trial was to compare the potential of deproteinized bovine bone added to autologous bone or corticocancellous allograft block with or without the addition of recombinant human platelet-derived growth factor-BB (rhPDGF-BB) to regenerate mandibular atrophic ridges. Materials and Methods: Trial design: parallel, allocation ratio of 1:1 using a split-mouth model. Eligibility criteria for patients: adult patients; bilateral atrophic edentulous areas in the posterior area of the mandible; a preoperatory cone beam computed tomography scan; and absence of systemic diseases affecting the bone metabolism. Bone graft intervention for control group consisted of bone chips collected with a scraper mixed with deproteinized bovine bone covered with a resorbable membrane. Bone graft intervention for test group consisted of a corticocancellous allograft block, shaped before surgery, and protected with a collagen membrane. In addition, both groups received rhPDGF-BB or a saline solution as control. As primary outcome quantity, bone variation after a 1-year healing period was considered. A p-value of.05 was considered statistically significant. Results: Sixteen patients were enrolled in this trial. A total of 50 implants and 32 bone grafts were placed. All patients concluded the study (no dropouts). Change at 1 year in bone volume was not significantly different between the two groups (p-value=.25). Effect of treatment in terms of change in bone volume at 1 year was not significant (p-value=.89) when saline solution was used while was at limit of significance when rhPDGF-BB was used (p-value=.052). After 1 year, all the implants were successfully integrated. Conclusions: The block allograft and the standard regenerative procedure showed similar results in terms of regenerated bone volume after 1 year of functional loading. The rhPDGF-BB positively influenced soft-tissue healing.","author":[{"dropping-particle":"","family":"Amorfini","given":"Leonardo","non-dropping-particle":"","parse-names":false,"suffix":""},{"dropping-particle":"","family":"Migliorati","given":"Marco","non-dropping-particle":"","parse-names":false,"suffix":""},{"dropping-particle":"","family":"Signori","given":"Alessio","non-dropping-particle":"","parse-names":false,"suffix":""},{"dropping-particle":"","family":"Silvestrini-Biavati","given":"Armando","non-dropping-particle":"","parse-names":false,"suffix":""},{"dropping-particle":"","family":"Benedicenti","given":"Stefano","non-dropping-particle":"","parse-names":false,"suffix":""}],"container-title":"Clinical Implant Dentistry and Related Research","id":"ITEM-1","issue":"5","issued":{"date-parts":[["2014"]]},"page":"655-667","title":"Block Allograft Technique versus Standard Guided Bone Regeneration: A Randomized Clinical Trial","type":"article-journal","volume":"16"},"uris":["http://www.mendeley.com/documents/?uuid=cf289323-9b01-432e-9d49-e1ff3001e21e"]}],"mendeley":{"formattedCitation":"(12)","plainTextFormattedCitation":"(12)","previouslyFormattedCitation":"(12)"},"properties":{"noteIndex":0},"schema":"https://github.com/citation-style-language/schema/raw/master/csl-citation.json"}</w:instrText>
      </w:r>
      <w:r w:rsidR="00325C49">
        <w:fldChar w:fldCharType="separate"/>
      </w:r>
      <w:r w:rsidR="00325C49" w:rsidRPr="00325C49">
        <w:rPr>
          <w:noProof/>
        </w:rPr>
        <w:t>(12)</w:t>
      </w:r>
      <w:r w:rsidR="00325C49">
        <w:fldChar w:fldCharType="end"/>
      </w:r>
      <w:r w:rsidR="00325C49">
        <w:fldChar w:fldCharType="begin" w:fldLock="1"/>
      </w:r>
      <w:r w:rsidR="00325C49">
        <w:instrText>ADDIN CSL_CITATION {"citationItems":[{"id":"ITEM-1","itemData":{"DOI":"10.1111/clr.13123","ISSN":"16000501","abstract":"AIM: To investigate and compare the prevalence of biological complications and failure of implants placed in pristine vs. augmented sites after a mean observation period of at least 10 years. MATERIALS AND METHODS: The focused question \"In patients with osseointegrated dental implants, are there differences in biological complications and implant failure at implants placed in pristine vs. augmented sites?\" was addressed using the Population, Exposure, Comparison and Outcome criteria. Electronic and manual searches supplemented by the screening of the grey literature were carried out. A case definition of peri-implant mucositis and peri-implantitis had to be specified. The binary random-effects method was chosen to conduct meta-analyses. Results are presented as Forest plots with weighted mean values and 95% confidence intervals (CI). The I(2) statistic test was applied to quantify heterogeneity. The Newcastle-Ottawa Scale and the parameters provided in the Cochrane Center and CONSORT statement were used for quality assessment. The results are reported according to the PRISMA guidelines. RESULTS: No randomized clinical trial (RCT) comparing the outcomes of implants placed in pristine vs. augmented sites was identified. Five case-series studies, one case-control study, one cross-sectional study and one RCT were eligible for qualitative and quantitative analyses. No statistically significant differences (p &gt; .05) were observed between implants placed in pristine vs. augmented sites for any outcome variables both at patient and at implant levels, respectively. High heterogeneity concerning patient sampling, case definitions of biological complications and eligibility criteria was observed. CONCLUSION: The studies included in the present systematic review did not directly address the focused questions. Hence, the outcomes of the meta-analysis should be interpreted with caution due to high variability with respect to study design.","author":[{"dropping-particle":"","family":"Salvi","given":"Giovanni E.","non-dropping-particle":"","parse-names":false,"suffix":""},{"dropping-particle":"","family":"Monje","given":"Alberto","non-dropping-particle":"","parse-names":false,"suffix":""},{"dropping-particle":"","family":"Tomasi","given":"Cristiano","non-dropping-particle":"","parse-names":false,"suffix":""}],"container-title":"Clinical Oral Implants Research","id":"ITEM-1","issue":"December 2017","issued":{"date-parts":[["2018"]]},"page":"294-310","title":"Long-term biological complications of dental implants placed either in pristine or in augmented sites: A systematic review and meta-analysis","type":"article-journal","volume":"29"},"uris":["http://www.mendeley.com/documents/?uuid=cce35cf3-91bf-4a8d-9df4-42a467713d61"]}],"mendeley":{"formattedCitation":"(13)","plainTextFormattedCitation":"(13)","previouslyFormattedCitation":"(13)"},"properties":{"noteIndex":0},"schema":"https://github.com/citation-style-language/schema/raw/master/csl-citation.json"}</w:instrText>
      </w:r>
      <w:r w:rsidR="00325C49">
        <w:fldChar w:fldCharType="separate"/>
      </w:r>
      <w:r w:rsidR="00325C49" w:rsidRPr="00325C49">
        <w:rPr>
          <w:noProof/>
        </w:rPr>
        <w:t>(13)</w:t>
      </w:r>
      <w:r w:rsidR="00325C49">
        <w:fldChar w:fldCharType="end"/>
      </w:r>
    </w:p>
    <w:p w14:paraId="11EA26B4" w14:textId="5773663E" w:rsidR="005E334C" w:rsidRPr="004836AF" w:rsidRDefault="00325C49" w:rsidP="004836AF">
      <w:pPr>
        <w:spacing w:line="360" w:lineRule="auto"/>
        <w:ind w:right="1"/>
        <w:jc w:val="both"/>
      </w:pPr>
      <w:r>
        <w:lastRenderedPageBreak/>
        <w:t>L</w:t>
      </w:r>
      <w:r w:rsidR="00117609" w:rsidRPr="004836AF">
        <w:t>a literatura muestra que no existe consenso en que conducta tomar para la rehabilitación mediante implantes en  mandíbulas atróficas</w:t>
      </w:r>
      <w:r>
        <w:fldChar w:fldCharType="begin" w:fldLock="1"/>
      </w:r>
      <w:r w:rsidR="002131B4">
        <w:instrText>ADDIN CSL_CITATION {"citationItems":[{"id":"ITEM-1","itemData":{"DOI":"10.1016/j.jcms.2017.04.011","ISSN":"18784119","abstract":"Purpose Given the lack of general consensus in the literature regarding the best method to rehabilitate partially edentulous patients with extended atrophic edentulous sites in the posterior zone of the mandible, and with a residual ridge height less than 8 mm (with or without bone augmentation procedures), the aim of this systematic review was to analyze all the relevant randomized clinical trials (RCT), and, by means of a meta-analysis of the collected data, draw some conclusions regarding the best available treatments for the rehabilitation of posterior edentulism in partially dentate mandible. Materials and methods An electronic search was conducted in the MEDLINE and Cochrane Oral Health Group databases for studies published between January 2000 and September 2015 with the use of relevant keywords and hand-searching. All identified publications were screened by the authors according to the Cochrane Data Collection Form for Intervention Reviews. Collected outcomes such as biological complications, vertical ridge changes, implant and prosthetic failure were studied by subgroups analyses. Results An initial search yielded 81 potential articles, of which 12 studies were chosen for inclusion. Short implants seemed to be effective in limiting incidence of the biological complications (RR: 2.822; 95% CI: 1.809–4.403; p &lt; 0.0001) and degree of ridge height reduction (difference in means of 0.052 mm; 95% CI: 0.026–0.079 mm; p &lt; 0.0001) when compared with long implants placed in augmented bone. Implants placed in augmented areas with the use of onlay block grafts seemed to behave worse than implants placed in the augmented sites regardless of the augmentation procedures. However, this difference did not reach statistical significance. Conclusion Findings from subgroup analyses revealed that (1) short implants placed in the posterior atrophic areas of partially edentulous mandibles were associated with superior outcomes compared with long implants in augmented bone, such as lower rate of biological complications and of peri-implant bone loss; whereas (2), there was no evidence that onlay augmentation was inferior to any of the other augmentation techniques employed.","author":[{"dropping-particle":"","family":"Toti","given":"Paolo","non-dropping-particle":"","parse-names":false,"suffix":""},{"dropping-particle":"","family":"Marchionni","given":"Saverio","non-dropping-particle":"","parse-names":false,"suffix":""},{"dropping-particle":"","family":"Menchini-Fabris","given":"Giovanni Battista","non-dropping-particle":"","parse-names":false,"suffix":""},{"dropping-particle":"","family":"Marconcini","given":"Simone","non-dropping-particle":"","parse-names":false,"suffix":""},{"dropping-particle":"","family":"Covani","given":"Ugo","non-dropping-particle":"","parse-names":false,"suffix":""},{"dropping-particle":"","family":"Barone","given":"Antonio","non-dropping-particle":"","parse-names":false,"suffix":""}],"container-title":"Journal of Cranio-Maxillofacial Surgery","id":"ITEM-1","issue":"8","issued":{"date-parts":[["2017"]]},"page":"1236-1245","publisher":"Elsevier Ltd","title":"Surgical techniques used in the rehabilitation of partially edentulous patients with atrophic posterior mandibles: A systematic review and meta-analysis of randomized controlled clinical trials","type":"article-journal","volume":"45"},"uris":["http://www.mendeley.com/documents/?uuid=4a06d70d-b312-4038-9de2-c60edd14d292"]}],"mendeley":{"formattedCitation":"(14)","plainTextFormattedCitation":"(14)","previouslyFormattedCitation":"(14)"},"properties":{"noteIndex":0},"schema":"https://github.com/citation-style-language/schema/raw/master/csl-citation.json"}</w:instrText>
      </w:r>
      <w:r>
        <w:fldChar w:fldCharType="separate"/>
      </w:r>
      <w:r w:rsidRPr="00325C49">
        <w:rPr>
          <w:noProof/>
        </w:rPr>
        <w:t>(14)</w:t>
      </w:r>
      <w:r>
        <w:fldChar w:fldCharType="end"/>
      </w:r>
      <w:r>
        <w:t>.</w:t>
      </w:r>
    </w:p>
    <w:p w14:paraId="595ACCE6" w14:textId="1FC3D679" w:rsidR="005E334C" w:rsidRPr="004836AF" w:rsidRDefault="00117609" w:rsidP="004836AF">
      <w:pPr>
        <w:spacing w:line="360" w:lineRule="auto"/>
        <w:ind w:right="1"/>
        <w:jc w:val="both"/>
      </w:pPr>
      <w:r w:rsidRPr="004836AF">
        <w:t xml:space="preserve"> Los procedimientos de regeneración ósea para el aumento vertical del reborde son biológicamente demandantes. La angiogénesis deberá darse a distancia del hueso existente, para formar un hueso nuevo </w:t>
      </w:r>
      <w:r w:rsidR="002131B4">
        <w:fldChar w:fldCharType="begin" w:fldLock="1"/>
      </w:r>
      <w:r w:rsidR="002131B4">
        <w:instrText>ADDIN CSL_CITATION {"citationItems":[{"id":"ITEM-1","itemData":{"DOI":"10.1097/01.id.0000204762.39826.0f","ISSN":"10566163","abstract":"Guided bone regeneration is a well-established technique used for augmentation of deficient alveolar ridges. Predictable regeneration requires both a high level of technical skill and a thorough understanding of underlying principles of wound healing. This article describes the 4 major biologic principles (i.e., PASS) necessary for predictable bone regeneration: primary wound closure to ensure undisturbed and uninterrupted wound healing, angiogenesis to provide necessary blood supply and undifferentiated mesenchymal cells, space maintenance/creation to facilitate adequate space for bone ingrowth, and stability of wound and implant to induce blood clot formation and uneventful healing events. In addition, a novel flap design and clinical cases using this principle are presented.","author":[{"dropping-particle":"","family":"Wang","given":"Hom Lay","non-dropping-particle":"","parse-names":false,"suffix":""},{"dropping-particle":"","family":"Boyapati","given":"Lakshmi","non-dropping-particle":"","parse-names":false,"suffix":""}],"container-title":"Implant Dentistry","id":"ITEM-1","issue":"1","issued":{"date-parts":[["2006"]]},"page":"8-17","title":"\"pASS\" principles for predictable bone regeneration","type":"article-journal","volume":"15"},"uris":["http://www.mendeley.com/documents/?uuid=3f7aca06-a1c8-4c83-a710-20682ec3102b"]}],"mendeley":{"formattedCitation":"(15)","plainTextFormattedCitation":"(15)","previouslyFormattedCitation":"(15)"},"properties":{"noteIndex":0},"schema":"https://github.com/citation-style-language/schema/raw/master/csl-citation.json"}</w:instrText>
      </w:r>
      <w:r w:rsidR="002131B4">
        <w:fldChar w:fldCharType="separate"/>
      </w:r>
      <w:r w:rsidR="002131B4" w:rsidRPr="002131B4">
        <w:rPr>
          <w:noProof/>
        </w:rPr>
        <w:t>(15)</w:t>
      </w:r>
      <w:r w:rsidR="002131B4">
        <w:fldChar w:fldCharType="end"/>
      </w:r>
      <w:r w:rsidRPr="004836AF">
        <w:t xml:space="preserve">. Por otro lado, el tejido blando deberá ser desplazado para proveer un cierre primario ajustado a las nuevas dimensiones del reborde, requiriendo un correcto diseño y liberación del colgajo para una aproximación libre de tensión. </w:t>
      </w:r>
    </w:p>
    <w:p w14:paraId="0B738500" w14:textId="388CCE77" w:rsidR="005E334C" w:rsidRPr="004836AF" w:rsidRDefault="00117609" w:rsidP="004836AF">
      <w:pPr>
        <w:spacing w:line="360" w:lineRule="auto"/>
        <w:ind w:right="1"/>
        <w:jc w:val="both"/>
      </w:pPr>
      <w:r w:rsidRPr="004836AF">
        <w:t>En particular cuando el aumento vertical del reborde (AVR) se produce en la mandíbula se tienen más consideraciones. El maxilar inferior se describe como un hueso cuya calidad ósea es tipo I y II, lo que significa que una capa cortical gruesa se encuentra sobre una trabecular delgada</w:t>
      </w:r>
      <w:r w:rsidR="004E6F4E">
        <w:t xml:space="preserve">, </w:t>
      </w:r>
      <w:r w:rsidRPr="004836AF">
        <w:t>pu</w:t>
      </w:r>
      <w:r w:rsidR="004E6F4E">
        <w:t>diendo</w:t>
      </w:r>
      <w:r w:rsidRPr="004836AF">
        <w:t xml:space="preserve"> afectar negativamente la regeneración. Sumado a esto el acceso a la zona a regenerar presenta dificultades debido a existencia de estructuras anatómicas nobles</w:t>
      </w:r>
      <w:r w:rsidR="002131B4">
        <w:t xml:space="preserve"> </w:t>
      </w:r>
      <w:r w:rsidR="002131B4">
        <w:fldChar w:fldCharType="begin" w:fldLock="1"/>
      </w:r>
      <w:r w:rsidR="002131B4">
        <w:instrText>ADDIN CSL_CITATION {"citationItems":[{"id":"ITEM-1","itemData":{"DOI":"10.11607/prd.3200","ISSN":"01987569","abstract":"© 2017 by Quintessence Publishing Co Inc. Guided bone regeneration has become more predictable due to advances in material sciences. Nevertheless, vertical ridge augmentation (VRA) remains a potential challenge due to the complexity of soft tissue management. This becomes more complicated in the posterior atrophic mandible due to limited access and poorer blood supply. As such, a number of critical elements must be taken into consideration in treatment planning. Anatomical structures potentially jeopardize intraoperative adverse events such as bleeding or neurosensory disturbances. The attachment of the mylohyoid often compromises lingual flap advancement. This technical review summarizes the critical factors to be assessed prior to VRA for the posterior mandible and provides a sequenced approach to bone grafting and to attaining a tension-free flap for successful bone regeneration and long-term peri-implant tissue stability.","author":[{"dropping-particle":"","family":"Urban","given":"Istvan","non-dropping-particle":"","parse-names":false,"suffix":""},{"dropping-particle":"","family":"Monje","given":"Alberto","non-dropping-particle":"","parse-names":false,"suffix":""},{"dropping-particle":"","family":"Lozada","given":"Jaime","non-dropping-particle":"","parse-names":false,"suffix":""},{"dropping-particle":"","family":"Wang","given":"Hom-Lay","non-dropping-particle":"","parse-names":false,"suffix":""}],"container-title":"The International Journal of Periodontics &amp; Restorative Dentistry","id":"ITEM-1","issue":"5","issued":{"date-parts":[["2017","8","16"]]},"page":"639-645","publisher":"Quintessence Publishing","title":"Principles for Vertical Ridge Augmentation in the Atrophic Posterior Mandible: A Technical Review","type":"article-journal","volume":"37"},"uris":["http://www.mendeley.com/documents/?uuid=5ce6de3f-2d37-3279-b848-529f78f83bf8"]}],"mendeley":{"formattedCitation":"(16)","plainTextFormattedCitation":"(16)","previouslyFormattedCitation":"(16)"},"properties":{"noteIndex":0},"schema":"https://github.com/citation-style-language/schema/raw/master/csl-citation.json"}</w:instrText>
      </w:r>
      <w:r w:rsidR="002131B4">
        <w:fldChar w:fldCharType="separate"/>
      </w:r>
      <w:r w:rsidR="002131B4" w:rsidRPr="002131B4">
        <w:rPr>
          <w:noProof/>
        </w:rPr>
        <w:t>(16)</w:t>
      </w:r>
      <w:r w:rsidR="002131B4">
        <w:fldChar w:fldCharType="end"/>
      </w:r>
      <w:r w:rsidR="002131B4">
        <w:t>.</w:t>
      </w:r>
    </w:p>
    <w:p w14:paraId="69C204A0" w14:textId="0CD96CF2" w:rsidR="005E334C" w:rsidRPr="004836AF" w:rsidRDefault="00117609" w:rsidP="004836AF">
      <w:pPr>
        <w:spacing w:line="360" w:lineRule="auto"/>
        <w:ind w:right="1"/>
        <w:jc w:val="both"/>
      </w:pPr>
      <w:r w:rsidRPr="004836AF">
        <w:t xml:space="preserve">Numerosas modalidades terapéuticas han sido propuestas para el aumento vertical del reborde como: Distracción </w:t>
      </w:r>
      <w:proofErr w:type="spellStart"/>
      <w:r w:rsidRPr="004836AF">
        <w:t>osteogénica</w:t>
      </w:r>
      <w:proofErr w:type="spellEnd"/>
      <w:r w:rsidRPr="004836AF">
        <w:t xml:space="preserve"> (DO), Injertos óseos en bloque tanto sobre puesto (BOS) como interpuesto (BOI) o Regeneración Ósea Guiada (ROG). </w:t>
      </w:r>
      <w:r w:rsidR="002131B4">
        <w:fldChar w:fldCharType="begin" w:fldLock="1"/>
      </w:r>
      <w:r w:rsidR="002131B4">
        <w:instrText>ADDIN CSL_CITATION {"citationItems":[{"id":"ITEM-1","itemData":{"DOI":"10.1111/jcpe.13061","ISSN":"1600051X","abstract":"AIM The primary aim of this systematic review was to evaluate the effect of various techniques used for vertical ridge augmentation on clinical vertical bone gain. MATERIAL AND METHODS A protocol was developed to answer the following focused question: \"In patients with vertical alveolar ridge deficiencies, how effective are different augmentation procedures for clinical alveolar ridge gain?\" Randomized and controlled clinical trials and prospective and retrospective case series were included, and meta-analyses were performed to evaluate vertical bone gain based on the type of procedure and to compare bone gains in controlled studies. RESULTS Thirty-six publications were included. Results demonstrated a significant vertical bone gain for all treatment approaches [n=33; weighted mean effect = 4.16 mm; 95% CI 3.72-4.61; p&lt;0.001]. Clinical vertical bone gain and complications rate varied among the different procedures, with a weighted mean gain of 8.04 mm and complications rate of 47.3% for distraction osteogenesis, 4.18 mm and 12.1% for guided bone regeneration (GBR) and 3.46 mm and 23.9% for bone blocks. In comparative studies, GBR achieved a significant greater bone gain when compared to bone blocks [n=3; weighted mean difference=1.34 mm; 95% CI 0.76-1.91; p&lt;0.001]. CONCLUSIONS Vertical ridge augmentation is a feasible and effective therapy for the reconstruction of deficient alveolar ridges, although complications are common. This article is protected by copyright. All rights reserved.","author":[{"dropping-particle":"","family":"Urban","given":"Istvan A.","non-dropping-particle":"","parse-names":false,"suffix":""},{"dropping-particle":"","family":"Montero","given":"Eduardo","non-dropping-particle":"","parse-names":false,"suffix":""},{"dropping-particle":"","family":"Monje","given":"Alberto","non-dropping-particle":"","parse-names":false,"suffix":""},{"dropping-particle":"","family":"Sanz-Sánchez","given":"Ignacio","non-dropping-particle":"","parse-names":false,"suffix":""}],"container-title":"Journal of Clinical Periodontology","id":"ITEM-1","issue":"S21","issued":{"date-parts":[["2019"]]},"page":"319-339","title":"Effectiveness of vertical ridge augmentation interventions: A systematic review and meta-analysis","type":"article-journal","volume":"46"},"uris":["http://www.mendeley.com/documents/?uuid=273545cc-fa99-4c89-9f49-a3325cc9ad30"]}],"mendeley":{"formattedCitation":"(17)","plainTextFormattedCitation":"(17)","previouslyFormattedCitation":"(17)"},"properties":{"noteIndex":0},"schema":"https://github.com/citation-style-language/schema/raw/master/csl-citation.json"}</w:instrText>
      </w:r>
      <w:r w:rsidR="002131B4">
        <w:fldChar w:fldCharType="separate"/>
      </w:r>
      <w:r w:rsidR="002131B4" w:rsidRPr="002131B4">
        <w:rPr>
          <w:noProof/>
        </w:rPr>
        <w:t>(17)</w:t>
      </w:r>
      <w:r w:rsidR="002131B4">
        <w:fldChar w:fldCharType="end"/>
      </w:r>
    </w:p>
    <w:p w14:paraId="53384DBC" w14:textId="77777777" w:rsidR="005E334C" w:rsidRPr="004836AF" w:rsidRDefault="00117609" w:rsidP="004836AF">
      <w:pPr>
        <w:spacing w:line="360" w:lineRule="auto"/>
        <w:ind w:right="1"/>
        <w:jc w:val="both"/>
      </w:pPr>
      <w:r w:rsidRPr="004836AF">
        <w:t xml:space="preserve">En 2017 </w:t>
      </w:r>
      <w:proofErr w:type="spellStart"/>
      <w:r w:rsidRPr="004836AF">
        <w:t>Elnayef</w:t>
      </w:r>
      <w:proofErr w:type="spellEnd"/>
      <w:r w:rsidRPr="004836AF">
        <w:t xml:space="preserve"> y colaboradores realizaron una revisión sistemática y meta análisis de estas cuatro opciones </w:t>
      </w:r>
      <w:proofErr w:type="spellStart"/>
      <w:r w:rsidRPr="004836AF">
        <w:t>terapèuticas</w:t>
      </w:r>
      <w:proofErr w:type="spellEnd"/>
      <w:r w:rsidRPr="004836AF">
        <w:t xml:space="preserve">. Cincuenta y dos estudios fueron incluidos en el análisis cuantitativo y cualitativo. En el mismo fueron examinados: Aumento </w:t>
      </w:r>
      <w:proofErr w:type="spellStart"/>
      <w:r w:rsidRPr="004836AF">
        <w:t>oseo</w:t>
      </w:r>
      <w:proofErr w:type="spellEnd"/>
      <w:r w:rsidRPr="004836AF">
        <w:t xml:space="preserve"> vertical, Tasa de sobrevida de los implantes (TS) y  Tasas de éxito (TE). </w:t>
      </w:r>
    </w:p>
    <w:p w14:paraId="56FC37C3" w14:textId="63BEB7E1" w:rsidR="005E334C" w:rsidRPr="004836AF" w:rsidRDefault="00117609" w:rsidP="004836AF">
      <w:pPr>
        <w:spacing w:line="360" w:lineRule="auto"/>
        <w:ind w:right="1"/>
        <w:jc w:val="both"/>
      </w:pPr>
      <w:r w:rsidRPr="004836AF">
        <w:t>Para el BOI encontraron una ganancia promedio</w:t>
      </w:r>
      <w:r w:rsidR="004E6F4E">
        <w:t xml:space="preserve"> (GOP)</w:t>
      </w:r>
      <w:r w:rsidRPr="004836AF">
        <w:t xml:space="preserve"> de </w:t>
      </w:r>
      <w:proofErr w:type="spellStart"/>
      <w:r w:rsidRPr="004836AF">
        <w:t>4,92mm</w:t>
      </w:r>
      <w:proofErr w:type="spellEnd"/>
      <w:r w:rsidRPr="004836AF">
        <w:t xml:space="preserve"> </w:t>
      </w:r>
      <w:r w:rsidRPr="004836AF">
        <w:rPr>
          <w:rFonts w:eastAsia="Times New Roman"/>
        </w:rPr>
        <w:t xml:space="preserve"> </w:t>
      </w:r>
      <w:r w:rsidRPr="004836AF">
        <w:t xml:space="preserve">± 0,34, la TS fue de 97,3%, la TE de </w:t>
      </w:r>
      <w:proofErr w:type="spellStart"/>
      <w:r w:rsidRPr="004836AF">
        <w:t>91,7%.Para</w:t>
      </w:r>
      <w:proofErr w:type="spellEnd"/>
      <w:r w:rsidRPr="004836AF">
        <w:t xml:space="preserve"> el BOS la</w:t>
      </w:r>
      <w:r w:rsidR="004E6F4E">
        <w:t xml:space="preserve"> GOP</w:t>
      </w:r>
      <w:r w:rsidRPr="004836AF">
        <w:t xml:space="preserve"> fue de 3,71± </w:t>
      </w:r>
      <w:proofErr w:type="spellStart"/>
      <w:r w:rsidRPr="004836AF">
        <w:t>0,41mm</w:t>
      </w:r>
      <w:proofErr w:type="spellEnd"/>
      <w:r w:rsidRPr="004836AF">
        <w:t xml:space="preserve">, TS de 98,9% y la TE de 93,9%. En el caso de la DO la </w:t>
      </w:r>
      <w:r w:rsidR="00FB6880">
        <w:t xml:space="preserve">GOP </w:t>
      </w:r>
      <w:r w:rsidRPr="004836AF">
        <w:t xml:space="preserve">fue de </w:t>
      </w:r>
      <w:proofErr w:type="spellStart"/>
      <w:r w:rsidRPr="004836AF">
        <w:t>6,84mm</w:t>
      </w:r>
      <w:proofErr w:type="spellEnd"/>
      <w:r w:rsidRPr="004836AF">
        <w:t xml:space="preserve"> ± </w:t>
      </w:r>
      <w:proofErr w:type="spellStart"/>
      <w:r w:rsidRPr="004836AF">
        <w:t>0,61mm</w:t>
      </w:r>
      <w:proofErr w:type="spellEnd"/>
      <w:r w:rsidRPr="004836AF">
        <w:t>,  la TS fue de 98,1% y la TE 93,8%.</w:t>
      </w:r>
      <w:r w:rsidR="00FB6880">
        <w:t xml:space="preserve"> </w:t>
      </w:r>
      <w:r w:rsidRPr="004836AF">
        <w:t xml:space="preserve">Por último en la ROG el aumento promedio fue de 3,83 ± </w:t>
      </w:r>
      <w:proofErr w:type="spellStart"/>
      <w:r w:rsidRPr="004836AF">
        <w:t>0,49mm</w:t>
      </w:r>
      <w:proofErr w:type="spellEnd"/>
      <w:r w:rsidRPr="004836AF">
        <w:t>, la TS de 99,6% y la TE de 100%.</w:t>
      </w:r>
    </w:p>
    <w:p w14:paraId="24F41878" w14:textId="478126DA" w:rsidR="005E334C" w:rsidRPr="004836AF" w:rsidRDefault="00117609" w:rsidP="004836AF">
      <w:pPr>
        <w:spacing w:line="360" w:lineRule="auto"/>
        <w:ind w:right="1"/>
        <w:jc w:val="both"/>
      </w:pPr>
      <w:r w:rsidRPr="004836AF">
        <w:t xml:space="preserve">La técnica que logra una mayor ganancia ósea es la DO y la que menor aumento alcanzó fue el BOS, encontrando concordancia con revisiones sistemáticas previas </w:t>
      </w:r>
      <w:r w:rsidR="002131B4">
        <w:fldChar w:fldCharType="begin" w:fldLock="1"/>
      </w:r>
      <w:r w:rsidR="002131B4">
        <w:instrText>ADDIN CSL_CITATION {"citationItems":[{"id":"ITEM-1","itemData":{"DOI":"10.1111/j.1600-051X.2008.01271.x","ISSN":"03036979","abstract":"BACKGROUND: This review addressed the focused question of what is the predictability of vertical ridge augmentation techniques for patients, who were diagnosed with insufficient alveolar bone volume for the placement of dental implants. MATERIAL AND METHODS: A systematic online review of three main databases was performed between 1966 and 1 November 2007. Four groups of vertical bone augmentation techniques have been identified and evaluated: (1) guided bone regeneration, (2) distraction osteogenesis, (3) onlay bone grafting, and (4) an array of different techniques. Data extraction was based on the following outcomes: (a) success and failure rate of the procedure (vertical bone gain/loss), (b) complication rate of the procedure, and (c) implant survival, success and failure rate. RESULTS: The initial search identified 189 papers from the electronic database. The review produced seven papers for GBR, 13 reporting distraction osteogenesis, five for onlay bone grafting and three describing different techniques. CONCLUSIONS: For the concept of vertical ridge augmentation to enable dental implant placement, there are clinical and histological data supporting its potential use. Given the confined number of investigators using these techniques and the low number of patient treatments reported in the literature, the generalizability of this approach is limited at this time.","author":[{"dropping-particle":"","family":"Rocchietta","given":"Isabella","non-dropping-particle":"","parse-names":false,"suffix":""},{"dropping-particle":"","family":"Fontana","given":"Filippo","non-dropping-particle":"","parse-names":false,"suffix":""},{"dropping-particle":"","family":"Simion","given":"Massimo","non-dropping-particle":"","parse-names":false,"suffix":""}],"container-title":"Journal of Clinical Periodontology","id":"ITEM-1","issued":{"date-parts":[["2008"]]},"title":"Clinical outcomes of vertical bone augmentation to enable dental implant placement: A systematic review","type":"paper-conference"},"uris":["http://www.mendeley.com/documents/?uuid=45816e49-e379-375b-b9bd-06aae683def1"]}],"mendeley":{"formattedCitation":"(1)","plainTextFormattedCitation":"(1)","previouslyFormattedCitation":"(1)"},"properties":{"noteIndex":0},"schema":"https://github.com/citation-style-language/schema/raw/master/csl-citation.json"}</w:instrText>
      </w:r>
      <w:r w:rsidR="002131B4">
        <w:fldChar w:fldCharType="separate"/>
      </w:r>
      <w:r w:rsidR="002131B4" w:rsidRPr="002131B4">
        <w:rPr>
          <w:noProof/>
        </w:rPr>
        <w:t>(1)</w:t>
      </w:r>
      <w:r w:rsidR="002131B4">
        <w:fldChar w:fldCharType="end"/>
      </w:r>
      <w:r w:rsidR="002131B4">
        <w:fldChar w:fldCharType="begin" w:fldLock="1"/>
      </w:r>
      <w:r w:rsidR="000F05F6">
        <w:instrText>ADDIN CSL_CITATION {"citationItems":[{"id":"ITEM-1","itemData":{"DOI":"10.1016/j.ijom.2013.12.004","ISSN":"13990020","abstract":"Bone resorption following tooth loss often interferes with dental implant placement in a desired position, and requires additional bone augmentation procedures. Many techniques have been described to augment and reconstruct alveolar ridge width and height. The aim of this study was to systemically review whether there is evidence to provide indications for the various bone augmentation procedures based on defect dimension and type. An electronic search of the Medline database and Cochrane library, complemented by a manual search, was performed. Inclusion criteria for partial edentulism were: clinical trials on bone augmentation procedures in preparation or at the time of implant placement, reporting preoperative and postoperative dimensions of the ridge. For edentulous patients, studies were included when providing the data on ridge and defect description, or the amount of augmentation achieved. The search yielded 53 publications for partially edentulous patients and 15 publications for edentulous patients. The literature provides evidence that dehiscence and fenestrations can be treated successfully with guided bone regeneration (GBR) at the time of implant placement (mean implant survival rate (MISR) 92.2%, mean complication rate (MCR) 4.99%). In partially edentulous ridges, when a horizontal defect is present, procedures such as staged GBR (MISR 100%, MCR 11.9%), bone block grafts (MISR 98.4%, MCR 6.3%), and ridge expansion/splitting (MISR 97.4%, MCR 6.8%) have proved to be effective. Vertical defects can be treated with simultaneous and staged GBR (MISR 98.9%, MCR 13.1% and MISR 100%, MCR 6.95%, respectively), bone block grafts (MISR 96.3%, MCR 8.1%), and distraction osteogenesis (MISR 98.2%, MCR 22.4%). In edentulous patients, there is evidence that bone block grafts can be used (MISR 87.75%), and that Le Fort I osteotomies can be applied (MISR 87.9%), but associated with a high complication rate. The objective of extracting specific indications for each procedure could not be fully achieved due to the heterogeneity of the studies available. Further studies on bone augmentation procedures should report precise preoperative and postoperative measurements to enable a more exact analysis of the augmentation procedure, as well as to provide the clinician with the rationale for choosing the most indicated surgical approach. © 2013 Published by Elsevier Ltd on behalf of International Association of Oral and Maxillofacial Surgeons. All rights reserved.","author":[{"dropping-particle":"","family":"Milinkovic","given":"I.","non-dropping-particle":"","parse-names":false,"suffix":""},{"dropping-particle":"","family":"Cordaro","given":"L.","non-dropping-particle":"","parse-names":false,"suffix":""}],"container-title":"International Journal of Oral and Maxillofacial Surgery","id":"ITEM-1","issue":"5","issued":{"date-parts":[["2014"]]},"page":"606-625","publisher":"Churchill Livingstone","title":"Are there specific indications for the different alveolar bone augmentation procedures for implant placement? A systematic review","type":"article","volume":"43"},"uris":["http://www.mendeley.com/documents/?uuid=c18b0df3-a2e0-37e4-b286-6fcb270e433a"]}],"mendeley":{"formattedCitation":"(18)","plainTextFormattedCitation":"(18)","previouslyFormattedCitation":"(18)"},"properties":{"noteIndex":0},"schema":"https://github.com/citation-style-language/schema/raw/master/csl-citation.json"}</w:instrText>
      </w:r>
      <w:r w:rsidR="002131B4">
        <w:fldChar w:fldCharType="separate"/>
      </w:r>
      <w:r w:rsidR="002131B4" w:rsidRPr="002131B4">
        <w:rPr>
          <w:noProof/>
        </w:rPr>
        <w:t>(18)</w:t>
      </w:r>
      <w:r w:rsidR="002131B4">
        <w:fldChar w:fldCharType="end"/>
      </w:r>
      <w:r w:rsidRPr="004836AF">
        <w:t xml:space="preserve">. Entre todas las técnicas BOI y ROG  demostraron AVR aceptable de aproximadamente </w:t>
      </w:r>
      <w:proofErr w:type="spellStart"/>
      <w:r w:rsidRPr="004836AF">
        <w:t>4mm</w:t>
      </w:r>
      <w:proofErr w:type="spellEnd"/>
      <w:r w:rsidRPr="004836AF">
        <w:t xml:space="preserve">. </w:t>
      </w:r>
    </w:p>
    <w:p w14:paraId="435B8B43" w14:textId="77777777" w:rsidR="005E334C" w:rsidRPr="004836AF" w:rsidRDefault="00117609" w:rsidP="004836AF">
      <w:pPr>
        <w:spacing w:line="360" w:lineRule="auto"/>
        <w:ind w:right="1"/>
        <w:jc w:val="both"/>
      </w:pPr>
      <w:r w:rsidRPr="004836AF">
        <w:t xml:space="preserve">Sin embargo se encontraron complicaciones biológicas  a tener en cuenta. BOS y BOI tienen desordenes sensoriales mayores seguidos de la DO y de la ROG.  BOS y BOI pueden tener mayor abertura de la herida comprometiendo el resultado del AVR. La DO fue la técnica con mayores complicaciones como la inclinación lingual del vector de crecimiento o la pérdida del distractor. </w:t>
      </w:r>
    </w:p>
    <w:p w14:paraId="50349CCF" w14:textId="77777777" w:rsidR="00A6302F" w:rsidRDefault="00A6302F" w:rsidP="004836AF">
      <w:pPr>
        <w:spacing w:line="360" w:lineRule="auto"/>
        <w:ind w:right="1"/>
        <w:jc w:val="both"/>
      </w:pPr>
    </w:p>
    <w:p w14:paraId="31CF2D97" w14:textId="77777777" w:rsidR="00A6302F" w:rsidRDefault="00A6302F" w:rsidP="004836AF">
      <w:pPr>
        <w:spacing w:line="360" w:lineRule="auto"/>
        <w:ind w:right="1"/>
        <w:jc w:val="both"/>
      </w:pPr>
    </w:p>
    <w:p w14:paraId="29FA50C0" w14:textId="0D708C9D" w:rsidR="005E334C" w:rsidRPr="004836AF" w:rsidRDefault="00117609" w:rsidP="004836AF">
      <w:pPr>
        <w:spacing w:line="360" w:lineRule="auto"/>
        <w:ind w:right="1"/>
        <w:jc w:val="both"/>
      </w:pPr>
      <w:bookmarkStart w:id="0" w:name="_GoBack"/>
      <w:bookmarkEnd w:id="0"/>
      <w:r w:rsidRPr="004836AF">
        <w:lastRenderedPageBreak/>
        <w:t>Concluyen que:</w:t>
      </w:r>
    </w:p>
    <w:p w14:paraId="02F88D33" w14:textId="77777777" w:rsidR="005E334C" w:rsidRPr="004836AF" w:rsidRDefault="00117609" w:rsidP="000F05F6">
      <w:pPr>
        <w:spacing w:line="360" w:lineRule="auto"/>
        <w:ind w:right="1"/>
        <w:jc w:val="both"/>
      </w:pPr>
      <w:r w:rsidRPr="004836AF">
        <w:t>·</w:t>
      </w:r>
      <w:r w:rsidRPr="004836AF">
        <w:rPr>
          <w:rFonts w:eastAsia="Times New Roman"/>
        </w:rPr>
        <w:t xml:space="preserve">       </w:t>
      </w:r>
      <w:r w:rsidRPr="004836AF">
        <w:t xml:space="preserve">la ROG es la técnica más confiable en términos de estabilidad ósea (menor reabsorción, baja tasa de complicaciones y menor morbilidad). </w:t>
      </w:r>
    </w:p>
    <w:p w14:paraId="144DA0E4" w14:textId="77777777" w:rsidR="005E334C" w:rsidRPr="004836AF" w:rsidRDefault="00117609" w:rsidP="000F05F6">
      <w:pPr>
        <w:spacing w:line="360" w:lineRule="auto"/>
        <w:ind w:right="1"/>
        <w:jc w:val="both"/>
      </w:pPr>
      <w:r w:rsidRPr="004836AF">
        <w:t>·</w:t>
      </w:r>
      <w:r w:rsidRPr="004836AF">
        <w:rPr>
          <w:rFonts w:eastAsia="Times New Roman"/>
        </w:rPr>
        <w:t xml:space="preserve">       </w:t>
      </w:r>
      <w:r w:rsidRPr="004836AF">
        <w:t>Independientemente de la técnica,  TS y TE en  AVR son altos en la evaluación a corto plazo. Los resultados a largo plazo quedan por determinar.</w:t>
      </w:r>
    </w:p>
    <w:p w14:paraId="012209A0" w14:textId="700CE5FC" w:rsidR="005E334C" w:rsidRPr="004836AF" w:rsidRDefault="00117609" w:rsidP="000F05F6">
      <w:pPr>
        <w:spacing w:line="360" w:lineRule="auto"/>
        <w:ind w:right="1"/>
        <w:jc w:val="both"/>
      </w:pPr>
      <w:r w:rsidRPr="004836AF">
        <w:t>·</w:t>
      </w:r>
      <w:r w:rsidRPr="004836AF">
        <w:rPr>
          <w:rFonts w:eastAsia="Times New Roman"/>
        </w:rPr>
        <w:t xml:space="preserve">       </w:t>
      </w:r>
      <w:r w:rsidRPr="004836AF">
        <w:t xml:space="preserve">Se necesitan estudios controlados para examinar el hueso </w:t>
      </w:r>
      <w:proofErr w:type="spellStart"/>
      <w:r w:rsidRPr="004836AF">
        <w:t>periimplantar</w:t>
      </w:r>
      <w:proofErr w:type="spellEnd"/>
      <w:r w:rsidRPr="004836AF">
        <w:t xml:space="preserve"> a largo plazo</w:t>
      </w:r>
      <w:r w:rsidR="000F05F6">
        <w:fldChar w:fldCharType="begin" w:fldLock="1"/>
      </w:r>
      <w:r w:rsidR="000F05F6">
        <w:instrText>ADDIN CSL_CITATION {"citationItems":[{"id":"ITEM-1","itemData":{"DOI":"10.11607/jomi.4861","ISSN":"08822786","abstract":"© 2017 by Quintessence Publishing Co Inc. Purpose: To systematically appraise the effectiveness/reliability of vertical ridge augmentation (VRA) in the atrophic mandible. Articles that addressed any one of the following four areas were included in this study: amount of VRA, implant survival (ISR) and success rates (SSR) in the area of newly regenerated bone, complication rate during the bone augmentation procedure, and bone resorption. Materials and Methods: An electronic literature search was conducted by two independent reviewers in several databases, including MEDLINE, EMBASE, Cochrane Central Register of Controlled Trials, and Cochrane Oral Health Group Trials Register databases for articles reporting VRA in the atrophic mandible via distraction osteogenesis (DO), inlay block grafting (IBG), onlay block grafting (OBG), and guided bone regeneration (GBR). For meta-analysis, two primary (VRA and ISR [%]) and two secondary outcomes were studied (SSR [%]  and vertical bone resorption [VBR] [%}). Additionally, for qualitative assessment, complications (ie, causes of failure) were further extracted and comprehensively described. Results: Overall, 73 full-text papers were evaluated. Of these, 52 articles fulfilled the inclusion criteria. The weight mean (WM) of VRA (± SD) was 4.49 ± 0.33 mm (95% CI: 3.85 to 5.14 mm). It was most notable that DO involved greater VRA than IBG, and thus, significantly higher than GBR and OBG. The technique significantly influenced the mean VRA obtained (P  &lt;  .001). Nonetheless, no technique showed superiority in terms of ISR or SSR. VBR and complications were shown to be minimized for GBR. Conclusion: If ~ 4 mm of VRA is needed, any technique in optimum local and systemic conditions should be equally reliable in the atrophic mandible. However, when greater VRA is needed, DO and IBG have demonstrated accuracy. By means of complication and VBR rates, GBR was shown to have the lowest. For ISR and SSR, no statistical differences existed among all techniques. Controlled studies are needed to examine the long-term peri-implant bone fate and the frequency of biologic complications in each technique applied for the vertical augmentation of the atrophied mandible.","author":[{"dropping-particle":"","family":"Elnayef","given":"Basel","non-dropping-particle":"","parse-names":false,"suffix":""},{"dropping-particle":"","family":"Monje","given":"Alberto","non-dropping-particle":"","parse-names":false,"suffix":""},{"dropping-particle":"","family":"Albiol","given":"Gargallo","non-dropping-particle":"","parse-names":false,"suffix":""},{"dropping-particle":"","family":"Galindo-Moreno","given":"Pablo","non-dropping-particle":"","parse-names":false,"suffix":""},{"dropping-particle":"","family":"Wang","given":"Hom-Lay","non-dropping-particle":"","parse-names":false,"suffix":""},{"dropping-particle":"","family":"Hernández-Alfaro","given":"Federico","non-dropping-particle":"","parse-names":false,"suffix":""}],"container-title":"The International Journal of Oral &amp; Maxillofacial Implants","id":"ITEM-1","issue":"2","issued":{"date-parts":[["2017","3","14"]]},"page":"291-312","publisher":"Quintessence Publishing","title":"Vertical Ridge Augmentation in the Atrophic Mandible: A Systematic Review and Meta-Analysis","type":"article-journal","volume":"32"},"uris":["http://www.mendeley.com/documents/?uuid=42231dfc-8f5c-3818-9f6a-80d7747d021d"]}],"mendeley":{"formattedCitation":"(19)","plainTextFormattedCitation":"(19)","previouslyFormattedCitation":"(19)"},"properties":{"noteIndex":0},"schema":"https://github.com/citation-style-language/schema/raw/master/csl-citation.json"}</w:instrText>
      </w:r>
      <w:r w:rsidR="000F05F6">
        <w:fldChar w:fldCharType="separate"/>
      </w:r>
      <w:r w:rsidR="000F05F6" w:rsidRPr="000F05F6">
        <w:rPr>
          <w:noProof/>
        </w:rPr>
        <w:t>(19)</w:t>
      </w:r>
      <w:r w:rsidR="000F05F6">
        <w:fldChar w:fldCharType="end"/>
      </w:r>
      <w:r w:rsidRPr="004836AF">
        <w:t>.</w:t>
      </w:r>
    </w:p>
    <w:p w14:paraId="11D7EB7C" w14:textId="77777777" w:rsidR="005E334C" w:rsidRPr="004836AF" w:rsidRDefault="00117609" w:rsidP="004836AF">
      <w:pPr>
        <w:spacing w:line="360" w:lineRule="auto"/>
        <w:ind w:right="1"/>
        <w:jc w:val="both"/>
      </w:pPr>
      <w:r w:rsidRPr="004836AF">
        <w:t xml:space="preserve"> </w:t>
      </w:r>
    </w:p>
    <w:p w14:paraId="2371BBE8" w14:textId="77777777" w:rsidR="005E334C" w:rsidRPr="004836AF" w:rsidRDefault="00117609" w:rsidP="004836AF">
      <w:pPr>
        <w:spacing w:line="360" w:lineRule="auto"/>
        <w:ind w:right="1"/>
        <w:jc w:val="both"/>
      </w:pPr>
      <w:r w:rsidRPr="004836AF">
        <w:t xml:space="preserve"> </w:t>
      </w:r>
    </w:p>
    <w:p w14:paraId="5D4279AD" w14:textId="6F9CC935" w:rsidR="005E334C" w:rsidRPr="004836AF" w:rsidRDefault="00117609" w:rsidP="004836AF">
      <w:pPr>
        <w:spacing w:line="360" w:lineRule="auto"/>
        <w:ind w:right="1"/>
        <w:jc w:val="both"/>
      </w:pPr>
      <w:r w:rsidRPr="004836AF">
        <w:t xml:space="preserve">En 2019 </w:t>
      </w:r>
      <w:proofErr w:type="spellStart"/>
      <w:r w:rsidRPr="004836AF">
        <w:t>Isvan</w:t>
      </w:r>
      <w:proofErr w:type="spellEnd"/>
      <w:r w:rsidRPr="004836AF">
        <w:t xml:space="preserve"> </w:t>
      </w:r>
      <w:proofErr w:type="spellStart"/>
      <w:r w:rsidRPr="004836AF">
        <w:t>Urban</w:t>
      </w:r>
      <w:proofErr w:type="spellEnd"/>
      <w:r w:rsidRPr="004836AF">
        <w:t xml:space="preserve"> y colaboradores publican una revisión sistemática con meta análisis enfocado en la respuesta a la siguiente pregunta: “En pacientes con deficiencias de altura en el reborde alveolar, ¿cuán efectivos son los diferentes procedimientos para la ganancia clínica del reborde? Incluyeron </w:t>
      </w:r>
      <w:r w:rsidR="000F05F6">
        <w:t>e</w:t>
      </w:r>
      <w:r w:rsidRPr="004836AF">
        <w:t xml:space="preserve">studios </w:t>
      </w:r>
      <w:r w:rsidR="000F05F6">
        <w:t xml:space="preserve">clínicos </w:t>
      </w:r>
      <w:r w:rsidRPr="004836AF">
        <w:t>controlados aleatorizados, ensayos clínicos y serie de casos prospectivos y retrospectivos.</w:t>
      </w:r>
    </w:p>
    <w:p w14:paraId="5A42C17E" w14:textId="77777777" w:rsidR="005E334C" w:rsidRPr="004836AF" w:rsidRDefault="00117609" w:rsidP="004836AF">
      <w:pPr>
        <w:spacing w:line="360" w:lineRule="auto"/>
        <w:ind w:right="1"/>
        <w:jc w:val="both"/>
      </w:pPr>
      <w:r w:rsidRPr="004836AF">
        <w:t>Los estudios seleccionados consideraban: 1- ROG; 2- BOS; 3- BOI; 4- DO.</w:t>
      </w:r>
    </w:p>
    <w:p w14:paraId="4E05E6A0" w14:textId="77777777" w:rsidR="005E334C" w:rsidRPr="004836AF" w:rsidRDefault="00117609" w:rsidP="004836AF">
      <w:pPr>
        <w:spacing w:line="360" w:lineRule="auto"/>
        <w:ind w:right="1"/>
        <w:jc w:val="both"/>
      </w:pPr>
      <w:r w:rsidRPr="004836AF">
        <w:t xml:space="preserve"> Encontraron diferencias significativas en las distintas opciones terapéuticas, siendo la DO en la que se logró el máximo de aumento vertical con un promedio de </w:t>
      </w:r>
      <w:proofErr w:type="spellStart"/>
      <w:r w:rsidRPr="004836AF">
        <w:t>8,04mm</w:t>
      </w:r>
      <w:proofErr w:type="spellEnd"/>
      <w:r w:rsidRPr="004836AF">
        <w:t xml:space="preserve">, mientras que el mínimo se encontró con el hueso sintético particulado solo con </w:t>
      </w:r>
      <w:proofErr w:type="spellStart"/>
      <w:r w:rsidRPr="004836AF">
        <w:t>2,05mm</w:t>
      </w:r>
      <w:proofErr w:type="spellEnd"/>
      <w:r w:rsidRPr="004836AF">
        <w:t xml:space="preserve"> de ganancia ósea.</w:t>
      </w:r>
    </w:p>
    <w:p w14:paraId="536D5886" w14:textId="77777777" w:rsidR="005E334C" w:rsidRPr="004836AF" w:rsidRDefault="00117609" w:rsidP="004836AF">
      <w:pPr>
        <w:spacing w:line="360" w:lineRule="auto"/>
        <w:ind w:right="1"/>
        <w:jc w:val="both"/>
      </w:pPr>
      <w:r w:rsidRPr="004836AF">
        <w:t xml:space="preserve">La ROG fue la técnica más frecuentemente reportada, empleando la mayoría de los estudios membranas no reabsorbibles, con una ganancia promedio de </w:t>
      </w:r>
      <w:proofErr w:type="spellStart"/>
      <w:r w:rsidRPr="004836AF">
        <w:t>4,39mm</w:t>
      </w:r>
      <w:proofErr w:type="spellEnd"/>
      <w:r w:rsidRPr="004836AF">
        <w:t>.</w:t>
      </w:r>
    </w:p>
    <w:p w14:paraId="232B8EB0" w14:textId="26A81156" w:rsidR="00B2340A" w:rsidRPr="004836AF" w:rsidRDefault="00117609" w:rsidP="00B2340A">
      <w:pPr>
        <w:spacing w:line="360" w:lineRule="auto"/>
        <w:ind w:right="143"/>
        <w:jc w:val="both"/>
      </w:pPr>
      <w:r w:rsidRPr="004836AF">
        <w:t xml:space="preserve">En los injertos con bloques óseos encontraron un aumento promedio de </w:t>
      </w:r>
      <w:proofErr w:type="spellStart"/>
      <w:r w:rsidRPr="004836AF">
        <w:t>4,12mm</w:t>
      </w:r>
      <w:proofErr w:type="spellEnd"/>
      <w:r w:rsidRPr="004836AF">
        <w:t xml:space="preserve"> en </w:t>
      </w:r>
      <w:proofErr w:type="spellStart"/>
      <w:r w:rsidRPr="004836AF">
        <w:t>autólogos</w:t>
      </w:r>
      <w:proofErr w:type="spellEnd"/>
      <w:r w:rsidRPr="004836AF">
        <w:t xml:space="preserve"> y </w:t>
      </w:r>
      <w:proofErr w:type="spellStart"/>
      <w:r w:rsidRPr="004836AF">
        <w:t>2,03mm</w:t>
      </w:r>
      <w:proofErr w:type="spellEnd"/>
      <w:r w:rsidRPr="004836AF">
        <w:t xml:space="preserve"> en aloinjertos. En cuanto a las complicaciones constataron que la técnica  con mayores complicaciones era la DO con 47,3%, el uso de bloques 23,9% y la ROG con 22,7% cuando se utilizaban membranas reabsorbibles y 6,9% con membranas no reabsorbibles. Del meta análisis se desprende que existe una significativa pérdida ósea a través del tiempo y que la técnica influye en ella, variando de </w:t>
      </w:r>
      <w:proofErr w:type="spellStart"/>
      <w:r w:rsidRPr="004836AF">
        <w:t>1,40mm</w:t>
      </w:r>
      <w:proofErr w:type="spellEnd"/>
      <w:r w:rsidRPr="004836AF">
        <w:t xml:space="preserve"> en DO a 0,58 en ROG. En cuanto a la TS de las técnicas regenerativas fue comparable a las reportadas para implantes en hueso nativo. El estudio concluye que el AVR es una terapia razonable para la reconstrucci</w:t>
      </w:r>
      <w:r w:rsidR="000F05F6">
        <w:t>ó</w:t>
      </w:r>
      <w:r w:rsidRPr="004836AF">
        <w:t>n del reborde alveolar deficiente. No pudiendo llegar a una conclusión firme de que técnica es superior dado el grado de evidencia y heterogeneidad de los estudios incluidos en la revisión. Sin embargo parece ser que la ROG ofrece un AVR efectivo, con bajas tasas de complicaciones post operatorias</w:t>
      </w:r>
      <w:r w:rsidR="000F05F6">
        <w:t xml:space="preserve"> </w:t>
      </w:r>
    </w:p>
    <w:p w14:paraId="24E9E2B3" w14:textId="54B4081C" w:rsidR="005E334C" w:rsidRPr="004836AF" w:rsidRDefault="005E334C" w:rsidP="004836AF">
      <w:pPr>
        <w:spacing w:line="360" w:lineRule="auto"/>
        <w:ind w:right="1"/>
        <w:jc w:val="both"/>
      </w:pPr>
    </w:p>
    <w:p w14:paraId="3BAAB496" w14:textId="281569E6" w:rsidR="005E334C" w:rsidRPr="004836AF" w:rsidRDefault="00117609" w:rsidP="003E7255">
      <w:pPr>
        <w:spacing w:line="360" w:lineRule="auto"/>
        <w:ind w:right="1"/>
        <w:jc w:val="both"/>
      </w:pPr>
      <w:r w:rsidRPr="004836AF">
        <w:lastRenderedPageBreak/>
        <w:t xml:space="preserve"> Como trabajo final de la carrera de Especialista en </w:t>
      </w:r>
      <w:proofErr w:type="spellStart"/>
      <w:r w:rsidRPr="004836AF">
        <w:t>Implantología</w:t>
      </w:r>
      <w:proofErr w:type="spellEnd"/>
      <w:r w:rsidRPr="004836AF">
        <w:t xml:space="preserve"> Oral se plantea el estudio del </w:t>
      </w:r>
      <w:r w:rsidR="00FB6880">
        <w:t>a</w:t>
      </w:r>
      <w:r w:rsidRPr="004836AF">
        <w:t xml:space="preserve">umento </w:t>
      </w:r>
      <w:r w:rsidR="00FB6880">
        <w:t>v</w:t>
      </w:r>
      <w:r w:rsidRPr="004836AF">
        <w:t xml:space="preserve">ertical del </w:t>
      </w:r>
      <w:r w:rsidR="00FB6880">
        <w:t>r</w:t>
      </w:r>
      <w:r w:rsidRPr="004836AF">
        <w:t>eborde</w:t>
      </w:r>
      <w:r w:rsidR="00FB6880">
        <w:t xml:space="preserve"> en sector</w:t>
      </w:r>
      <w:r w:rsidRPr="004836AF">
        <w:t xml:space="preserve"> </w:t>
      </w:r>
      <w:r w:rsidR="00FB6880">
        <w:t>p</w:t>
      </w:r>
      <w:r w:rsidRPr="004836AF">
        <w:t xml:space="preserve">osterior de la </w:t>
      </w:r>
      <w:r w:rsidR="00FB6880">
        <w:t>m</w:t>
      </w:r>
      <w:r w:rsidRPr="004836AF">
        <w:t xml:space="preserve">andíbula </w:t>
      </w:r>
      <w:r w:rsidR="00FB6880">
        <w:t xml:space="preserve">atrófica </w:t>
      </w:r>
      <w:r w:rsidRPr="004836AF">
        <w:t xml:space="preserve">mediante técnicas de </w:t>
      </w:r>
      <w:r w:rsidR="00FB6880">
        <w:t>r</w:t>
      </w:r>
      <w:r w:rsidRPr="004836AF">
        <w:t xml:space="preserve">egeneración </w:t>
      </w:r>
      <w:r w:rsidR="00FB6880">
        <w:t>ó</w:t>
      </w:r>
      <w:r w:rsidRPr="004836AF">
        <w:t xml:space="preserve">sea </w:t>
      </w:r>
      <w:r w:rsidR="00FB6880">
        <w:t>g</w:t>
      </w:r>
      <w:r w:rsidRPr="004836AF">
        <w:t>uiada.</w:t>
      </w:r>
      <w:r w:rsidR="003E7255" w:rsidRPr="003E7255">
        <w:t xml:space="preserve"> </w:t>
      </w:r>
      <w:r w:rsidR="003E7255">
        <w:t xml:space="preserve">Teniendo </w:t>
      </w:r>
      <w:r w:rsidR="003E7255" w:rsidRPr="004836AF">
        <w:t>como objetivo general,</w:t>
      </w:r>
      <w:r w:rsidR="003E7255">
        <w:t xml:space="preserve"> </w:t>
      </w:r>
      <w:r w:rsidR="003E7255" w:rsidRPr="004836AF">
        <w:t xml:space="preserve"> </w:t>
      </w:r>
      <w:r w:rsidR="003E7255">
        <w:t xml:space="preserve">conocer </w:t>
      </w:r>
      <w:r w:rsidR="003E7255" w:rsidRPr="004836AF">
        <w:t>los principios biológicos</w:t>
      </w:r>
      <w:r w:rsidR="003E7255">
        <w:t xml:space="preserve"> de la </w:t>
      </w:r>
      <w:r w:rsidR="00FB6880">
        <w:t>r</w:t>
      </w:r>
      <w:r w:rsidR="003E7255">
        <w:t xml:space="preserve">egeneración </w:t>
      </w:r>
      <w:r w:rsidR="00FB6880">
        <w:t>ó</w:t>
      </w:r>
      <w:r w:rsidR="003E7255">
        <w:t xml:space="preserve">sea </w:t>
      </w:r>
      <w:r w:rsidR="00FB6880">
        <w:t>g</w:t>
      </w:r>
      <w:r w:rsidR="003E7255">
        <w:t>uiada</w:t>
      </w:r>
      <w:r w:rsidR="003E7255" w:rsidRPr="004836AF">
        <w:t>, sus dificultades anatómicas</w:t>
      </w:r>
      <w:r w:rsidR="003E7255">
        <w:t xml:space="preserve"> en la zona propuesta y las </w:t>
      </w:r>
      <w:r w:rsidR="003E7255" w:rsidRPr="004836AF">
        <w:t>variaciones en los biomateriales utilizados</w:t>
      </w:r>
      <w:r w:rsidR="003E7255">
        <w:t xml:space="preserve">. </w:t>
      </w:r>
      <w:r w:rsidR="003E7255" w:rsidRPr="004836AF">
        <w:t xml:space="preserve">Como objetivo </w:t>
      </w:r>
      <w:proofErr w:type="spellStart"/>
      <w:r w:rsidR="003E7255" w:rsidRPr="004836AF">
        <w:t>específio</w:t>
      </w:r>
      <w:proofErr w:type="spellEnd"/>
      <w:r w:rsidR="003E7255" w:rsidRPr="004836AF">
        <w:t xml:space="preserve"> identificar la mejor técnica en cuanto a la ganancia ósea, </w:t>
      </w:r>
      <w:r w:rsidR="003E7255">
        <w:t xml:space="preserve">tasa de sobrevida, </w:t>
      </w:r>
      <w:r w:rsidR="003E7255" w:rsidRPr="004836AF">
        <w:t xml:space="preserve">estabilidad en el tiempo, menor tasa de complicaciones y morbilidad del paciente.  </w:t>
      </w:r>
      <w:r w:rsidRPr="004836AF">
        <w:t>De esta forma el clínico podrá discernir con en evidencia científica  la mejor estrategia a seguir frente a la necesidad del aumento vertical del reborde posterior de la mandíbula con regeneración ósea guiada.</w:t>
      </w:r>
    </w:p>
    <w:p w14:paraId="1EDEA3E1" w14:textId="02E1955C" w:rsidR="005E334C" w:rsidRPr="004836AF" w:rsidRDefault="00117609" w:rsidP="00F50D93">
      <w:pPr>
        <w:spacing w:line="360" w:lineRule="auto"/>
        <w:ind w:right="143"/>
        <w:jc w:val="both"/>
      </w:pPr>
      <w:r w:rsidRPr="004836AF">
        <w:t xml:space="preserve"> </w:t>
      </w:r>
    </w:p>
    <w:p w14:paraId="5E41A9DB" w14:textId="77777777" w:rsidR="005E334C" w:rsidRPr="004836AF" w:rsidRDefault="005E334C" w:rsidP="004836AF">
      <w:pPr>
        <w:spacing w:before="240" w:after="240" w:line="360" w:lineRule="auto"/>
        <w:jc w:val="both"/>
      </w:pPr>
    </w:p>
    <w:p w14:paraId="181E1C77" w14:textId="77777777" w:rsidR="005E334C" w:rsidRPr="004836AF" w:rsidRDefault="005E334C" w:rsidP="004836AF">
      <w:pPr>
        <w:spacing w:line="360" w:lineRule="auto"/>
        <w:jc w:val="both"/>
      </w:pPr>
    </w:p>
    <w:p w14:paraId="5636B5E7" w14:textId="77777777" w:rsidR="005E334C" w:rsidRPr="004836AF" w:rsidRDefault="005E334C" w:rsidP="004836AF">
      <w:pPr>
        <w:spacing w:line="360" w:lineRule="auto"/>
        <w:jc w:val="both"/>
      </w:pPr>
    </w:p>
    <w:p w14:paraId="0BED535C" w14:textId="77777777" w:rsidR="005E334C" w:rsidRPr="004836AF" w:rsidRDefault="005E334C" w:rsidP="004836AF">
      <w:pPr>
        <w:spacing w:line="360" w:lineRule="auto"/>
        <w:jc w:val="both"/>
      </w:pPr>
    </w:p>
    <w:p w14:paraId="71A2CAD8" w14:textId="77777777" w:rsidR="0096710F" w:rsidRDefault="0096710F" w:rsidP="0096710F">
      <w:pPr>
        <w:spacing w:line="360" w:lineRule="auto"/>
        <w:ind w:left="360"/>
        <w:jc w:val="both"/>
      </w:pPr>
    </w:p>
    <w:p w14:paraId="50160B72" w14:textId="77777777" w:rsidR="0096710F" w:rsidRDefault="0096710F" w:rsidP="0096710F">
      <w:pPr>
        <w:spacing w:line="360" w:lineRule="auto"/>
        <w:ind w:left="360"/>
        <w:jc w:val="both"/>
      </w:pPr>
    </w:p>
    <w:p w14:paraId="4131B88E" w14:textId="77777777" w:rsidR="0096710F" w:rsidRDefault="0096710F" w:rsidP="0096710F">
      <w:pPr>
        <w:spacing w:line="360" w:lineRule="auto"/>
        <w:ind w:left="360"/>
        <w:jc w:val="both"/>
      </w:pPr>
    </w:p>
    <w:p w14:paraId="3444DC87" w14:textId="77777777" w:rsidR="0096710F" w:rsidRDefault="0096710F" w:rsidP="0096710F">
      <w:pPr>
        <w:spacing w:line="360" w:lineRule="auto"/>
        <w:ind w:left="360"/>
        <w:jc w:val="both"/>
      </w:pPr>
    </w:p>
    <w:p w14:paraId="64D2A252" w14:textId="77777777" w:rsidR="0096710F" w:rsidRDefault="0096710F" w:rsidP="0096710F">
      <w:pPr>
        <w:spacing w:line="360" w:lineRule="auto"/>
        <w:ind w:left="360"/>
        <w:jc w:val="both"/>
      </w:pPr>
    </w:p>
    <w:p w14:paraId="3C25651A" w14:textId="77777777" w:rsidR="0096710F" w:rsidRDefault="0096710F" w:rsidP="0096710F">
      <w:pPr>
        <w:spacing w:line="360" w:lineRule="auto"/>
        <w:ind w:left="360"/>
        <w:jc w:val="both"/>
      </w:pPr>
    </w:p>
    <w:p w14:paraId="1CF2EC81" w14:textId="77777777" w:rsidR="0096710F" w:rsidRDefault="0096710F" w:rsidP="0096710F">
      <w:pPr>
        <w:spacing w:line="360" w:lineRule="auto"/>
        <w:ind w:left="360"/>
        <w:jc w:val="both"/>
      </w:pPr>
    </w:p>
    <w:p w14:paraId="5F654973" w14:textId="77777777" w:rsidR="0096710F" w:rsidRDefault="0096710F" w:rsidP="0096710F">
      <w:pPr>
        <w:spacing w:line="360" w:lineRule="auto"/>
        <w:ind w:left="360"/>
        <w:jc w:val="both"/>
      </w:pPr>
    </w:p>
    <w:p w14:paraId="107782BA" w14:textId="77777777" w:rsidR="0096710F" w:rsidRDefault="0096710F" w:rsidP="0096710F">
      <w:pPr>
        <w:spacing w:line="360" w:lineRule="auto"/>
        <w:ind w:left="360"/>
        <w:jc w:val="both"/>
      </w:pPr>
    </w:p>
    <w:p w14:paraId="27D9FB19" w14:textId="77777777" w:rsidR="0096710F" w:rsidRDefault="0096710F" w:rsidP="0096710F">
      <w:pPr>
        <w:spacing w:line="360" w:lineRule="auto"/>
        <w:ind w:left="360"/>
        <w:jc w:val="both"/>
      </w:pPr>
    </w:p>
    <w:p w14:paraId="630048A1" w14:textId="77777777" w:rsidR="0096710F" w:rsidRDefault="0096710F" w:rsidP="0096710F">
      <w:pPr>
        <w:spacing w:line="360" w:lineRule="auto"/>
        <w:ind w:left="360"/>
        <w:jc w:val="both"/>
      </w:pPr>
    </w:p>
    <w:p w14:paraId="21A50CE8" w14:textId="77777777" w:rsidR="0096710F" w:rsidRDefault="0096710F" w:rsidP="0096710F">
      <w:pPr>
        <w:spacing w:line="360" w:lineRule="auto"/>
        <w:ind w:left="360"/>
        <w:jc w:val="both"/>
      </w:pPr>
    </w:p>
    <w:p w14:paraId="43B79AC8" w14:textId="440DBBC3" w:rsidR="0096710F" w:rsidRDefault="0096710F" w:rsidP="0096710F">
      <w:pPr>
        <w:spacing w:line="360" w:lineRule="auto"/>
        <w:ind w:left="360"/>
        <w:jc w:val="both"/>
      </w:pPr>
    </w:p>
    <w:p w14:paraId="5DE8FE3B" w14:textId="4E6E07D5" w:rsidR="00FB6880" w:rsidRDefault="00FB6880" w:rsidP="0096710F">
      <w:pPr>
        <w:spacing w:line="360" w:lineRule="auto"/>
        <w:ind w:left="360"/>
        <w:jc w:val="both"/>
      </w:pPr>
    </w:p>
    <w:p w14:paraId="6E2F4D85" w14:textId="27BDCAAC" w:rsidR="00FB6880" w:rsidRDefault="00FB6880" w:rsidP="0096710F">
      <w:pPr>
        <w:spacing w:line="360" w:lineRule="auto"/>
        <w:ind w:left="360"/>
        <w:jc w:val="both"/>
      </w:pPr>
    </w:p>
    <w:p w14:paraId="3714FCEE" w14:textId="3B380523" w:rsidR="00FB6880" w:rsidRDefault="00FB6880" w:rsidP="0096710F">
      <w:pPr>
        <w:spacing w:line="360" w:lineRule="auto"/>
        <w:ind w:left="360"/>
        <w:jc w:val="both"/>
      </w:pPr>
    </w:p>
    <w:p w14:paraId="6F29DEE9" w14:textId="345990A0" w:rsidR="00FB6880" w:rsidRDefault="00FB6880" w:rsidP="0096710F">
      <w:pPr>
        <w:spacing w:line="360" w:lineRule="auto"/>
        <w:ind w:left="360"/>
        <w:jc w:val="both"/>
      </w:pPr>
    </w:p>
    <w:p w14:paraId="6B0E06E4" w14:textId="142B3E95" w:rsidR="00FB6880" w:rsidRDefault="00FB6880" w:rsidP="0096710F">
      <w:pPr>
        <w:spacing w:line="360" w:lineRule="auto"/>
        <w:ind w:left="360"/>
        <w:jc w:val="both"/>
      </w:pPr>
    </w:p>
    <w:p w14:paraId="5A0CA761" w14:textId="327E187E" w:rsidR="00FB6880" w:rsidRDefault="00FB6880" w:rsidP="0096710F">
      <w:pPr>
        <w:spacing w:line="360" w:lineRule="auto"/>
        <w:ind w:left="360"/>
        <w:jc w:val="both"/>
      </w:pPr>
    </w:p>
    <w:p w14:paraId="2A7E74F6" w14:textId="741F0EA1" w:rsidR="00FB6880" w:rsidRDefault="00FB6880" w:rsidP="0096710F">
      <w:pPr>
        <w:spacing w:line="360" w:lineRule="auto"/>
        <w:ind w:left="360"/>
        <w:jc w:val="both"/>
      </w:pPr>
    </w:p>
    <w:p w14:paraId="3C9560D0" w14:textId="77777777" w:rsidR="00FB6880" w:rsidRDefault="00FB6880" w:rsidP="0096710F">
      <w:pPr>
        <w:spacing w:line="360" w:lineRule="auto"/>
        <w:ind w:left="360"/>
        <w:jc w:val="both"/>
      </w:pPr>
    </w:p>
    <w:p w14:paraId="71A01A39" w14:textId="77777777" w:rsidR="0096710F" w:rsidRDefault="0096710F" w:rsidP="0096710F">
      <w:pPr>
        <w:spacing w:line="360" w:lineRule="auto"/>
        <w:ind w:left="360"/>
        <w:jc w:val="both"/>
      </w:pPr>
    </w:p>
    <w:p w14:paraId="2AA3AE3D" w14:textId="5C57866E" w:rsidR="005E334C" w:rsidRPr="00FB6880" w:rsidRDefault="00117609" w:rsidP="00FB6880">
      <w:pPr>
        <w:pStyle w:val="Prrafodelista"/>
        <w:numPr>
          <w:ilvl w:val="0"/>
          <w:numId w:val="9"/>
        </w:numPr>
        <w:spacing w:line="360" w:lineRule="auto"/>
        <w:ind w:left="426"/>
        <w:rPr>
          <w:b/>
        </w:rPr>
      </w:pPr>
      <w:r w:rsidRPr="00FB6880">
        <w:rPr>
          <w:b/>
        </w:rPr>
        <w:t>Metodología</w:t>
      </w:r>
    </w:p>
    <w:p w14:paraId="30B0EF7D" w14:textId="77777777" w:rsidR="0096710F" w:rsidRPr="004836AF" w:rsidRDefault="0096710F" w:rsidP="0096710F">
      <w:pPr>
        <w:pStyle w:val="Prrafodelista"/>
        <w:spacing w:line="360" w:lineRule="auto"/>
        <w:ind w:left="426"/>
      </w:pPr>
    </w:p>
    <w:p w14:paraId="64602E61" w14:textId="77777777" w:rsidR="005E334C" w:rsidRPr="004836AF" w:rsidRDefault="00117609" w:rsidP="0096710F">
      <w:pPr>
        <w:spacing w:line="360" w:lineRule="auto"/>
        <w:ind w:left="426"/>
      </w:pPr>
      <w:r w:rsidRPr="004836AF">
        <w:t>La monografía realizada es de tipo narrativa. En su elaboración se consultaron las siguientes bases de datos:</w:t>
      </w:r>
    </w:p>
    <w:p w14:paraId="58E01F5F" w14:textId="77777777" w:rsidR="005E334C" w:rsidRPr="004836AF" w:rsidRDefault="00117609" w:rsidP="0096710F">
      <w:pPr>
        <w:numPr>
          <w:ilvl w:val="0"/>
          <w:numId w:val="2"/>
        </w:numPr>
        <w:spacing w:line="360" w:lineRule="auto"/>
        <w:ind w:left="426"/>
      </w:pPr>
      <w:proofErr w:type="spellStart"/>
      <w:r w:rsidRPr="004836AF">
        <w:t>Medline</w:t>
      </w:r>
      <w:proofErr w:type="spellEnd"/>
    </w:p>
    <w:p w14:paraId="29205B13" w14:textId="77777777" w:rsidR="005E334C" w:rsidRPr="004836AF" w:rsidRDefault="00117609" w:rsidP="0096710F">
      <w:pPr>
        <w:numPr>
          <w:ilvl w:val="0"/>
          <w:numId w:val="2"/>
        </w:numPr>
        <w:spacing w:line="360" w:lineRule="auto"/>
        <w:ind w:left="426"/>
      </w:pPr>
      <w:r w:rsidRPr="004836AF">
        <w:t>LILACS</w:t>
      </w:r>
    </w:p>
    <w:p w14:paraId="5952C064" w14:textId="77777777" w:rsidR="005E334C" w:rsidRPr="004836AF" w:rsidRDefault="00117609" w:rsidP="0096710F">
      <w:pPr>
        <w:numPr>
          <w:ilvl w:val="0"/>
          <w:numId w:val="2"/>
        </w:numPr>
        <w:spacing w:line="360" w:lineRule="auto"/>
        <w:ind w:left="426"/>
      </w:pPr>
      <w:proofErr w:type="spellStart"/>
      <w:r w:rsidRPr="004836AF">
        <w:t>Scielo</w:t>
      </w:r>
      <w:proofErr w:type="spellEnd"/>
    </w:p>
    <w:p w14:paraId="56ABAA06" w14:textId="77777777" w:rsidR="005E334C" w:rsidRPr="004836AF" w:rsidRDefault="00117609" w:rsidP="0096710F">
      <w:pPr>
        <w:numPr>
          <w:ilvl w:val="0"/>
          <w:numId w:val="2"/>
        </w:numPr>
        <w:spacing w:line="360" w:lineRule="auto"/>
        <w:ind w:left="426"/>
      </w:pPr>
      <w:r w:rsidRPr="004836AF">
        <w:t>Google Académico</w:t>
      </w:r>
    </w:p>
    <w:p w14:paraId="12A67F06" w14:textId="77777777" w:rsidR="005E334C" w:rsidRPr="004836AF" w:rsidRDefault="005E334C" w:rsidP="0096710F">
      <w:pPr>
        <w:spacing w:line="360" w:lineRule="auto"/>
        <w:ind w:left="426"/>
      </w:pPr>
    </w:p>
    <w:p w14:paraId="1863D0AA" w14:textId="77777777" w:rsidR="005E334C" w:rsidRPr="004836AF" w:rsidRDefault="00117609" w:rsidP="0096710F">
      <w:pPr>
        <w:spacing w:line="360" w:lineRule="auto"/>
        <w:ind w:left="426"/>
      </w:pPr>
      <w:r w:rsidRPr="004836AF">
        <w:t>Se utilizaron descriptores en inglés: “</w:t>
      </w:r>
      <w:proofErr w:type="spellStart"/>
      <w:r w:rsidRPr="004836AF">
        <w:t>Atrophic</w:t>
      </w:r>
      <w:proofErr w:type="spellEnd"/>
      <w:r w:rsidRPr="004836AF">
        <w:t xml:space="preserve"> </w:t>
      </w:r>
      <w:proofErr w:type="spellStart"/>
      <w:r w:rsidRPr="004836AF">
        <w:t>mandible</w:t>
      </w:r>
      <w:proofErr w:type="spellEnd"/>
      <w:r w:rsidRPr="004836AF">
        <w:t xml:space="preserve">”, “posterior </w:t>
      </w:r>
      <w:proofErr w:type="spellStart"/>
      <w:r w:rsidRPr="004836AF">
        <w:t>mandible</w:t>
      </w:r>
      <w:proofErr w:type="spellEnd"/>
      <w:r w:rsidRPr="004836AF">
        <w:t xml:space="preserve">”, que fueron combinados con “Vertical Ridge </w:t>
      </w:r>
      <w:proofErr w:type="spellStart"/>
      <w:r w:rsidRPr="004836AF">
        <w:t>Augmentation</w:t>
      </w:r>
      <w:proofErr w:type="spellEnd"/>
      <w:r w:rsidRPr="004836AF">
        <w:t>” o “</w:t>
      </w:r>
      <w:proofErr w:type="spellStart"/>
      <w:r w:rsidRPr="004836AF">
        <w:t>Bone</w:t>
      </w:r>
      <w:proofErr w:type="spellEnd"/>
      <w:r w:rsidRPr="004836AF">
        <w:t xml:space="preserve"> </w:t>
      </w:r>
      <w:proofErr w:type="spellStart"/>
      <w:r w:rsidRPr="004836AF">
        <w:t>Augmentation</w:t>
      </w:r>
      <w:proofErr w:type="spellEnd"/>
      <w:r w:rsidRPr="004836AF">
        <w:t>” o “</w:t>
      </w:r>
      <w:proofErr w:type="spellStart"/>
      <w:r w:rsidRPr="004836AF">
        <w:t>Guided</w:t>
      </w:r>
      <w:proofErr w:type="spellEnd"/>
      <w:r w:rsidRPr="004836AF">
        <w:t xml:space="preserve"> </w:t>
      </w:r>
      <w:proofErr w:type="spellStart"/>
      <w:r w:rsidRPr="004836AF">
        <w:t>Bone</w:t>
      </w:r>
      <w:proofErr w:type="spellEnd"/>
      <w:r w:rsidRPr="004836AF">
        <w:t xml:space="preserve"> </w:t>
      </w:r>
      <w:proofErr w:type="spellStart"/>
      <w:r w:rsidRPr="004836AF">
        <w:t>Regeneration</w:t>
      </w:r>
      <w:proofErr w:type="spellEnd"/>
      <w:r w:rsidRPr="004836AF">
        <w:t xml:space="preserve">” o “Short </w:t>
      </w:r>
      <w:proofErr w:type="spellStart"/>
      <w:r w:rsidRPr="004836AF">
        <w:t>implants</w:t>
      </w:r>
      <w:proofErr w:type="spellEnd"/>
      <w:r w:rsidRPr="004836AF">
        <w:t>”.</w:t>
      </w:r>
    </w:p>
    <w:p w14:paraId="4848C82C" w14:textId="77777777" w:rsidR="005E334C" w:rsidRPr="004836AF" w:rsidRDefault="00117609" w:rsidP="0096710F">
      <w:pPr>
        <w:spacing w:line="360" w:lineRule="auto"/>
        <w:ind w:left="426"/>
      </w:pPr>
      <w:r w:rsidRPr="004836AF">
        <w:t xml:space="preserve">En </w:t>
      </w:r>
      <w:proofErr w:type="spellStart"/>
      <w:r w:rsidRPr="004836AF">
        <w:t>relación</w:t>
      </w:r>
      <w:proofErr w:type="spellEnd"/>
      <w:r w:rsidRPr="004836AF">
        <w:t xml:space="preserve"> al </w:t>
      </w:r>
      <w:proofErr w:type="spellStart"/>
      <w:r w:rsidRPr="004836AF">
        <w:t>diseño</w:t>
      </w:r>
      <w:proofErr w:type="spellEnd"/>
      <w:r w:rsidRPr="004836AF">
        <w:t xml:space="preserve"> de la </w:t>
      </w:r>
      <w:proofErr w:type="spellStart"/>
      <w:r w:rsidRPr="004836AF">
        <w:t>búsqueda</w:t>
      </w:r>
      <w:proofErr w:type="spellEnd"/>
      <w:r w:rsidRPr="004836AF">
        <w:t xml:space="preserve">, esta se </w:t>
      </w:r>
      <w:proofErr w:type="spellStart"/>
      <w:r w:rsidRPr="004836AF">
        <w:t>dirigio</w:t>
      </w:r>
      <w:proofErr w:type="spellEnd"/>
      <w:r w:rsidRPr="004836AF">
        <w:t xml:space="preserve">́ a localizar estudios relevantes, en las </w:t>
      </w:r>
      <w:proofErr w:type="spellStart"/>
      <w:r w:rsidRPr="004836AF">
        <w:t>áreas</w:t>
      </w:r>
      <w:proofErr w:type="spellEnd"/>
      <w:r w:rsidRPr="004836AF">
        <w:t xml:space="preserve"> claves, para el entendimiento de los puntos centrales de la </w:t>
      </w:r>
      <w:proofErr w:type="spellStart"/>
      <w:r w:rsidRPr="004836AF">
        <w:t>investigación</w:t>
      </w:r>
      <w:proofErr w:type="spellEnd"/>
      <w:r w:rsidRPr="004836AF">
        <w:t>.</w:t>
      </w:r>
    </w:p>
    <w:p w14:paraId="2B342597" w14:textId="77777777" w:rsidR="005E334C" w:rsidRPr="004836AF" w:rsidRDefault="005E334C" w:rsidP="004836AF">
      <w:pPr>
        <w:spacing w:line="360" w:lineRule="auto"/>
        <w:jc w:val="both"/>
      </w:pPr>
    </w:p>
    <w:p w14:paraId="0A92D106" w14:textId="77777777" w:rsidR="005E334C" w:rsidRPr="004836AF" w:rsidRDefault="00117609" w:rsidP="004836AF">
      <w:pPr>
        <w:spacing w:line="360" w:lineRule="auto"/>
        <w:jc w:val="both"/>
      </w:pPr>
      <w:r w:rsidRPr="004836AF">
        <w:t xml:space="preserve"> </w:t>
      </w:r>
    </w:p>
    <w:p w14:paraId="3D698B60" w14:textId="77777777" w:rsidR="005E334C" w:rsidRPr="004836AF" w:rsidRDefault="005E334C" w:rsidP="004836AF">
      <w:pPr>
        <w:spacing w:line="360" w:lineRule="auto"/>
        <w:jc w:val="both"/>
      </w:pPr>
    </w:p>
    <w:p w14:paraId="2F5A4FEA" w14:textId="1EA44519" w:rsidR="0096710F" w:rsidRDefault="0096710F" w:rsidP="004836AF">
      <w:pPr>
        <w:spacing w:line="360" w:lineRule="auto"/>
        <w:jc w:val="both"/>
        <w:rPr>
          <w:b/>
        </w:rPr>
      </w:pPr>
    </w:p>
    <w:p w14:paraId="5F8D0D8B" w14:textId="77777777" w:rsidR="0096710F" w:rsidRDefault="0096710F" w:rsidP="004836AF">
      <w:pPr>
        <w:spacing w:line="360" w:lineRule="auto"/>
        <w:jc w:val="both"/>
        <w:rPr>
          <w:b/>
        </w:rPr>
      </w:pPr>
    </w:p>
    <w:p w14:paraId="52D550A7" w14:textId="77777777" w:rsidR="0096710F" w:rsidRDefault="0096710F" w:rsidP="004836AF">
      <w:pPr>
        <w:spacing w:line="360" w:lineRule="auto"/>
        <w:jc w:val="both"/>
        <w:rPr>
          <w:b/>
        </w:rPr>
      </w:pPr>
    </w:p>
    <w:p w14:paraId="4E7A6835" w14:textId="77777777" w:rsidR="0096710F" w:rsidRDefault="0096710F" w:rsidP="004836AF">
      <w:pPr>
        <w:spacing w:line="360" w:lineRule="auto"/>
        <w:jc w:val="both"/>
        <w:rPr>
          <w:b/>
        </w:rPr>
      </w:pPr>
    </w:p>
    <w:p w14:paraId="1B7E9E96" w14:textId="77777777" w:rsidR="0096710F" w:rsidRDefault="0096710F" w:rsidP="004836AF">
      <w:pPr>
        <w:spacing w:line="360" w:lineRule="auto"/>
        <w:jc w:val="both"/>
        <w:rPr>
          <w:b/>
        </w:rPr>
      </w:pPr>
    </w:p>
    <w:p w14:paraId="2266E664" w14:textId="77777777" w:rsidR="0096710F" w:rsidRDefault="0096710F" w:rsidP="004836AF">
      <w:pPr>
        <w:spacing w:line="360" w:lineRule="auto"/>
        <w:jc w:val="both"/>
        <w:rPr>
          <w:b/>
        </w:rPr>
      </w:pPr>
    </w:p>
    <w:p w14:paraId="24C719C5" w14:textId="77777777" w:rsidR="0096710F" w:rsidRDefault="0096710F" w:rsidP="004836AF">
      <w:pPr>
        <w:spacing w:line="360" w:lineRule="auto"/>
        <w:jc w:val="both"/>
        <w:rPr>
          <w:b/>
        </w:rPr>
      </w:pPr>
    </w:p>
    <w:p w14:paraId="43CDC038" w14:textId="77777777" w:rsidR="0096710F" w:rsidRDefault="0096710F" w:rsidP="004836AF">
      <w:pPr>
        <w:spacing w:line="360" w:lineRule="auto"/>
        <w:jc w:val="both"/>
        <w:rPr>
          <w:b/>
        </w:rPr>
      </w:pPr>
    </w:p>
    <w:p w14:paraId="7B3CEEE6" w14:textId="77777777" w:rsidR="0096710F" w:rsidRDefault="0096710F" w:rsidP="004836AF">
      <w:pPr>
        <w:spacing w:line="360" w:lineRule="auto"/>
        <w:jc w:val="both"/>
        <w:rPr>
          <w:b/>
        </w:rPr>
      </w:pPr>
    </w:p>
    <w:p w14:paraId="581D7788" w14:textId="77777777" w:rsidR="0096710F" w:rsidRDefault="0096710F" w:rsidP="004836AF">
      <w:pPr>
        <w:spacing w:line="360" w:lineRule="auto"/>
        <w:jc w:val="both"/>
        <w:rPr>
          <w:b/>
        </w:rPr>
      </w:pPr>
    </w:p>
    <w:p w14:paraId="20778313" w14:textId="77777777" w:rsidR="0096710F" w:rsidRDefault="0096710F" w:rsidP="004836AF">
      <w:pPr>
        <w:spacing w:line="360" w:lineRule="auto"/>
        <w:jc w:val="both"/>
        <w:rPr>
          <w:b/>
        </w:rPr>
      </w:pPr>
    </w:p>
    <w:p w14:paraId="37F5F0CE" w14:textId="77777777" w:rsidR="0096710F" w:rsidRDefault="0096710F" w:rsidP="004836AF">
      <w:pPr>
        <w:spacing w:line="360" w:lineRule="auto"/>
        <w:jc w:val="both"/>
        <w:rPr>
          <w:b/>
        </w:rPr>
      </w:pPr>
    </w:p>
    <w:p w14:paraId="06B0E868" w14:textId="77777777" w:rsidR="0096710F" w:rsidRDefault="0096710F" w:rsidP="004836AF">
      <w:pPr>
        <w:spacing w:line="360" w:lineRule="auto"/>
        <w:jc w:val="both"/>
        <w:rPr>
          <w:b/>
        </w:rPr>
      </w:pPr>
    </w:p>
    <w:p w14:paraId="1C24D9DB" w14:textId="77777777" w:rsidR="0096710F" w:rsidRDefault="0096710F" w:rsidP="004836AF">
      <w:pPr>
        <w:spacing w:line="360" w:lineRule="auto"/>
        <w:jc w:val="both"/>
        <w:rPr>
          <w:b/>
        </w:rPr>
      </w:pPr>
    </w:p>
    <w:p w14:paraId="7466EFAD" w14:textId="77777777" w:rsidR="0096710F" w:rsidRDefault="0096710F" w:rsidP="004836AF">
      <w:pPr>
        <w:spacing w:line="360" w:lineRule="auto"/>
        <w:jc w:val="both"/>
        <w:rPr>
          <w:b/>
        </w:rPr>
      </w:pPr>
    </w:p>
    <w:p w14:paraId="7024ACD1" w14:textId="77777777" w:rsidR="0096710F" w:rsidRDefault="0096710F" w:rsidP="004836AF">
      <w:pPr>
        <w:spacing w:line="360" w:lineRule="auto"/>
        <w:jc w:val="both"/>
        <w:rPr>
          <w:b/>
        </w:rPr>
      </w:pPr>
    </w:p>
    <w:p w14:paraId="004FCEA3" w14:textId="77777777" w:rsidR="0096710F" w:rsidRDefault="0096710F" w:rsidP="004836AF">
      <w:pPr>
        <w:spacing w:line="360" w:lineRule="auto"/>
        <w:jc w:val="both"/>
        <w:rPr>
          <w:b/>
        </w:rPr>
      </w:pPr>
    </w:p>
    <w:p w14:paraId="541A6D62" w14:textId="77777777" w:rsidR="0096710F" w:rsidRDefault="0096710F" w:rsidP="004836AF">
      <w:pPr>
        <w:spacing w:line="360" w:lineRule="auto"/>
        <w:jc w:val="both"/>
        <w:rPr>
          <w:b/>
        </w:rPr>
      </w:pPr>
    </w:p>
    <w:p w14:paraId="678FCF93" w14:textId="77777777" w:rsidR="0096710F" w:rsidRDefault="0096710F" w:rsidP="004836AF">
      <w:pPr>
        <w:spacing w:line="360" w:lineRule="auto"/>
        <w:jc w:val="both"/>
        <w:rPr>
          <w:b/>
        </w:rPr>
      </w:pPr>
    </w:p>
    <w:p w14:paraId="14E3B229" w14:textId="77777777" w:rsidR="0096710F" w:rsidRDefault="0096710F" w:rsidP="004836AF">
      <w:pPr>
        <w:spacing w:line="360" w:lineRule="auto"/>
        <w:jc w:val="both"/>
        <w:rPr>
          <w:b/>
        </w:rPr>
      </w:pPr>
    </w:p>
    <w:p w14:paraId="0ABE9900" w14:textId="77777777" w:rsidR="0096710F" w:rsidRDefault="0096710F" w:rsidP="004836AF">
      <w:pPr>
        <w:spacing w:line="360" w:lineRule="auto"/>
        <w:jc w:val="both"/>
        <w:rPr>
          <w:b/>
        </w:rPr>
      </w:pPr>
    </w:p>
    <w:p w14:paraId="1514C48F" w14:textId="0EEC3C33" w:rsidR="005E334C" w:rsidRPr="0096710F" w:rsidRDefault="0096710F" w:rsidP="0096710F">
      <w:pPr>
        <w:spacing w:line="360" w:lineRule="auto"/>
        <w:jc w:val="both"/>
        <w:rPr>
          <w:b/>
        </w:rPr>
      </w:pPr>
      <w:r>
        <w:rPr>
          <w:b/>
        </w:rPr>
        <w:t>3.</w:t>
      </w:r>
      <w:r w:rsidR="00117609" w:rsidRPr="0096710F">
        <w:rPr>
          <w:b/>
        </w:rPr>
        <w:t xml:space="preserve"> Desarrollo: Revisión de la literatura</w:t>
      </w:r>
    </w:p>
    <w:p w14:paraId="5C3F1567" w14:textId="77777777" w:rsidR="0096710F" w:rsidRDefault="0096710F" w:rsidP="004836AF">
      <w:pPr>
        <w:spacing w:line="360" w:lineRule="auto"/>
        <w:jc w:val="both"/>
      </w:pPr>
    </w:p>
    <w:p w14:paraId="58C55DE4" w14:textId="2D83FCDC" w:rsidR="005E334C" w:rsidRPr="004836AF" w:rsidRDefault="00117609" w:rsidP="004836AF">
      <w:pPr>
        <w:spacing w:line="360" w:lineRule="auto"/>
        <w:jc w:val="both"/>
      </w:pPr>
      <w:r w:rsidRPr="004836AF">
        <w:t>Esta revisión será dividida en capítulos para una mayor comprensión de los contenidos. Para definir una estructura conceptual, definición de ROG, principios biológicos, anatomía, biomateriales para injertos óseos y distintos tipos de membranas serán abordados</w:t>
      </w:r>
      <w:r w:rsidR="00BC1754">
        <w:t>.</w:t>
      </w:r>
    </w:p>
    <w:p w14:paraId="26AFD9A8" w14:textId="77777777" w:rsidR="005E334C" w:rsidRPr="004836AF" w:rsidRDefault="00117609" w:rsidP="004836AF">
      <w:pPr>
        <w:spacing w:line="360" w:lineRule="auto"/>
        <w:jc w:val="both"/>
      </w:pPr>
      <w:r w:rsidRPr="004836AF">
        <w:t xml:space="preserve"> </w:t>
      </w:r>
    </w:p>
    <w:p w14:paraId="433DD61A" w14:textId="77777777" w:rsidR="005E334C" w:rsidRPr="004836AF" w:rsidRDefault="00117609" w:rsidP="004836AF">
      <w:pPr>
        <w:spacing w:line="360" w:lineRule="auto"/>
        <w:ind w:left="60"/>
        <w:jc w:val="both"/>
      </w:pPr>
      <w:r w:rsidRPr="004836AF">
        <w:t xml:space="preserve"> </w:t>
      </w:r>
    </w:p>
    <w:p w14:paraId="364B75A4" w14:textId="7D2FB840" w:rsidR="005E334C" w:rsidRPr="004836AF" w:rsidRDefault="00117609" w:rsidP="00133000">
      <w:pPr>
        <w:spacing w:line="360" w:lineRule="auto"/>
        <w:ind w:left="720" w:right="-708" w:hanging="1854"/>
        <w:jc w:val="both"/>
        <w:rPr>
          <w:rFonts w:eastAsia="Times New Roman"/>
          <w:highlight w:val="yellow"/>
        </w:rPr>
      </w:pPr>
      <w:r w:rsidRPr="004836AF">
        <w:rPr>
          <w:rFonts w:eastAsia="Times New Roman"/>
        </w:rPr>
        <w:t xml:space="preserve"> </w:t>
      </w:r>
    </w:p>
    <w:p w14:paraId="07ECF863" w14:textId="1E61FD46" w:rsidR="005E334C" w:rsidRPr="004836AF" w:rsidRDefault="005E334C" w:rsidP="004836AF">
      <w:pPr>
        <w:spacing w:before="240" w:after="240" w:line="360" w:lineRule="auto"/>
        <w:jc w:val="both"/>
      </w:pPr>
    </w:p>
    <w:p w14:paraId="29019F58" w14:textId="52E9577F" w:rsidR="005E334C" w:rsidRPr="004836AF" w:rsidRDefault="00BC1754" w:rsidP="00BC1754">
      <w:pPr>
        <w:spacing w:before="240" w:after="240" w:line="360" w:lineRule="auto"/>
        <w:ind w:left="-993"/>
        <w:jc w:val="both"/>
      </w:pPr>
      <w:r w:rsidRPr="00BC1754">
        <w:rPr>
          <w:noProof/>
        </w:rPr>
        <w:drawing>
          <wp:inline distT="0" distB="0" distL="0" distR="0" wp14:anchorId="5CCE7375" wp14:editId="679B48EB">
            <wp:extent cx="6060440" cy="3687580"/>
            <wp:effectExtent l="12700" t="0" r="10160" b="0"/>
            <wp:docPr id="12" name="Diagrama 12">
              <a:extLst xmlns:a="http://schemas.openxmlformats.org/drawingml/2006/main">
                <a:ext uri="{FF2B5EF4-FFF2-40B4-BE49-F238E27FC236}">
                  <a16:creationId xmlns:a16="http://schemas.microsoft.com/office/drawing/2014/main" id="{8D219F0A-FC79-734D-BF03-B4991B81E14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E4AC158" w14:textId="77777777" w:rsidR="005E334C" w:rsidRPr="004836AF" w:rsidRDefault="005E334C" w:rsidP="004836AF">
      <w:pPr>
        <w:spacing w:before="240" w:after="240" w:line="360" w:lineRule="auto"/>
        <w:jc w:val="both"/>
      </w:pPr>
    </w:p>
    <w:p w14:paraId="54E826A8" w14:textId="77777777" w:rsidR="005E334C" w:rsidRPr="004836AF" w:rsidRDefault="005E334C" w:rsidP="004836AF">
      <w:pPr>
        <w:spacing w:before="240" w:after="240" w:line="360" w:lineRule="auto"/>
        <w:jc w:val="both"/>
      </w:pPr>
    </w:p>
    <w:p w14:paraId="691FE521" w14:textId="77777777" w:rsidR="005E334C" w:rsidRPr="004836AF" w:rsidRDefault="005E334C" w:rsidP="004836AF">
      <w:pPr>
        <w:spacing w:before="240" w:after="240" w:line="360" w:lineRule="auto"/>
        <w:jc w:val="both"/>
      </w:pPr>
    </w:p>
    <w:p w14:paraId="53E535A0" w14:textId="77777777" w:rsidR="00BC1754" w:rsidRDefault="00BC1754" w:rsidP="004836AF">
      <w:pPr>
        <w:spacing w:before="240" w:after="240" w:line="360" w:lineRule="auto"/>
        <w:jc w:val="both"/>
      </w:pPr>
    </w:p>
    <w:p w14:paraId="0FC8873E" w14:textId="77777777" w:rsidR="00BC1754" w:rsidRDefault="00BC1754" w:rsidP="004836AF">
      <w:pPr>
        <w:spacing w:before="240" w:after="240" w:line="360" w:lineRule="auto"/>
        <w:jc w:val="both"/>
      </w:pPr>
    </w:p>
    <w:p w14:paraId="07A604A0" w14:textId="1B470CF3" w:rsidR="005E334C" w:rsidRPr="00FB6880" w:rsidRDefault="00117609" w:rsidP="004836AF">
      <w:pPr>
        <w:spacing w:before="240" w:after="240" w:line="360" w:lineRule="auto"/>
        <w:jc w:val="both"/>
        <w:rPr>
          <w:b/>
          <w:sz w:val="24"/>
          <w:szCs w:val="24"/>
        </w:rPr>
      </w:pPr>
      <w:r w:rsidRPr="00FB6880">
        <w:rPr>
          <w:b/>
          <w:sz w:val="24"/>
          <w:szCs w:val="24"/>
        </w:rPr>
        <w:t>3.1. Principios para la  Regeneración Ósea Guiada (ROG)</w:t>
      </w:r>
    </w:p>
    <w:p w14:paraId="070C153E" w14:textId="6C4B9C4A" w:rsidR="005E334C" w:rsidRPr="004836AF" w:rsidRDefault="00117609" w:rsidP="004836AF">
      <w:pPr>
        <w:spacing w:before="240" w:after="240" w:line="360" w:lineRule="auto"/>
        <w:jc w:val="both"/>
      </w:pPr>
      <w:r w:rsidRPr="004836AF">
        <w:t xml:space="preserve">La ROG es una técnica quirúrgica cuyo objetivo es  aumentar el volumen óseo alveolar en áreas donde es necesario para  colocación  futura de implantes, o alrededor de implantes colocados previamente. El fundamento de la ROG se basa en los principios de la regeneración tisular guiada, delineados por </w:t>
      </w:r>
      <w:proofErr w:type="spellStart"/>
      <w:r w:rsidRPr="004836AF">
        <w:t>Melcher</w:t>
      </w:r>
      <w:proofErr w:type="spellEnd"/>
      <w:r w:rsidRPr="004836AF">
        <w:t xml:space="preserve"> en 1976. En su publicación  describió la necesidad de la exclusión celular para permitir que la herida sea poblada por células que se consideran más favorables para la regeneración. En la ROG, las células que se requieren para repoblar la herida son principalmente osteoblastos. Los osteoblastos son responsables de generar nuevo hueso alveolar y de una futura remodelación ósea. Al excluir selectivamente el epitelio y el tejido conectivo con el uso de injertos óseos y materiales a modo de  barrera, el hueso es "guiado" al sitio deseado</w:t>
      </w:r>
      <w:r w:rsidR="00463478">
        <w:t xml:space="preserve"> </w:t>
      </w:r>
      <w:r w:rsidR="00463478">
        <w:fldChar w:fldCharType="begin" w:fldLock="1"/>
      </w:r>
      <w:r w:rsidR="00766EC4">
        <w:instrText>ADDIN CSL_CITATION {"citationItems":[{"id":"ITEM-1","itemData":{"DOI":"10.1097/01.id.0000204762.39826.0f","ISSN":"10566163","abstract":"Guided bone regeneration is a well-established technique used for augmentation of deficient alveolar ridges. Predictable regeneration requires both a high level of technical skill and a thorough understanding of underlying principles of wound healing. This article describes the 4 major biologic principles (i.e., PASS) necessary for predictable bone regeneration: primary wound closure to ensure undisturbed and uninterrupted wound healing, angiogenesis to provide necessary blood supply and undifferentiated mesenchymal cells, space maintenance/creation to facilitate adequate space for bone ingrowth, and stability of wound and implant to induce blood clot formation and uneventful healing events. In addition, a novel flap design and clinical cases using this principle are presented.","author":[{"dropping-particle":"","family":"Wang","given":"Hom Lay","non-dropping-particle":"","parse-names":false,"suffix":""},{"dropping-particle":"","family":"Boyapati","given":"Lakshmi","non-dropping-particle":"","parse-names":false,"suffix":""}],"container-title":"Implant Dentistry","id":"ITEM-1","issue":"1","issued":{"date-parts":[["2006"]]},"page":"8-17","title":"\"pASS\" principles for predictable bone regeneration","type":"article-journal","volume":"15"},"uris":["http://www.mendeley.com/documents/?uuid=3f7aca06-a1c8-4c83-a710-20682ec3102b"]}],"mendeley":{"formattedCitation":"(15)","plainTextFormattedCitation":"(15)","previouslyFormattedCitation":"(15)"},"properties":{"noteIndex":0},"schema":"https://github.com/citation-style-language/schema/raw/master/csl-citation.json"}</w:instrText>
      </w:r>
      <w:r w:rsidR="00463478">
        <w:fldChar w:fldCharType="separate"/>
      </w:r>
      <w:r w:rsidR="00463478" w:rsidRPr="00463478">
        <w:rPr>
          <w:noProof/>
        </w:rPr>
        <w:t>(15)</w:t>
      </w:r>
      <w:r w:rsidR="00463478">
        <w:fldChar w:fldCharType="end"/>
      </w:r>
      <w:r w:rsidRPr="004836AF">
        <w:t xml:space="preserve">.  </w:t>
      </w:r>
    </w:p>
    <w:p w14:paraId="759797F4" w14:textId="06BC4D70" w:rsidR="005E334C" w:rsidRPr="004836AF" w:rsidRDefault="00117609" w:rsidP="004836AF">
      <w:pPr>
        <w:spacing w:before="240" w:after="240" w:line="360" w:lineRule="auto"/>
        <w:jc w:val="both"/>
      </w:pPr>
      <w:r w:rsidRPr="004836AF">
        <w:t xml:space="preserve">En 1988, </w:t>
      </w:r>
      <w:proofErr w:type="spellStart"/>
      <w:r w:rsidRPr="004836AF">
        <w:t>Dahlin</w:t>
      </w:r>
      <w:proofErr w:type="spellEnd"/>
      <w:r w:rsidRPr="004836AF">
        <w:t xml:space="preserve"> y colaboradores publicaron los resultados de un estudio en animales que estudiaba a boca dividida la cicatrización de defectos óseos. El análisis estadístico de los sitios cicatrizados demostró un aumento muy significativo en la regeneración ósea en el lado de la membrana en comparación con el control. Se demostró que al colocar una membrana inerte con un tamaño de poro apropiado, que dificulta la penetración de células no deseadas, se crea un espacio que permite la entrada de células osteogénicas y </w:t>
      </w:r>
      <w:proofErr w:type="spellStart"/>
      <w:r w:rsidRPr="004836AF">
        <w:t>angiogénicas</w:t>
      </w:r>
      <w:proofErr w:type="spellEnd"/>
      <w:r w:rsidRPr="004836AF">
        <w:t xml:space="preserve"> de la médula ósea adyacente para poblar el área y proliferar. También se reconoció que la cantidad de formación ósea esta supeditada a la cantidad de espacio creado por la membrana</w:t>
      </w:r>
      <w:r w:rsidR="00D21A68">
        <w:t xml:space="preserve"> </w:t>
      </w:r>
      <w:r w:rsidR="00D21A68">
        <w:fldChar w:fldCharType="begin" w:fldLock="1"/>
      </w:r>
      <w:r w:rsidR="00D21A68">
        <w:instrText>ADDIN CSL_CITATION {"citationItems":[{"id":"ITEM-1","itemData":{"author":[{"dropping-particle":"","family":"Maryam Farzad DDS1, Mohammad Mohammadi DDS","given":"MSc2","non-dropping-particle":"","parse-names":false,"suffix":""}],"container-title":"J Oral Health Oral Epidemiol","id":"ITEM-1","issue":"1","issued":{"date-parts":[["2012"]]},"page":"3-18","title":"Guided bone regeneration: A literature review","type":"article-journal","volume":"1"},"uris":["http://www.mendeley.com/documents/?uuid=55e4b573-07e2-421b-a839-b06b89084553"]}],"mendeley":{"formattedCitation":"(20)","plainTextFormattedCitation":"(20)"},"properties":{"noteIndex":0},"schema":"https://github.com/citation-style-language/schema/raw/master/csl-citation.json"}</w:instrText>
      </w:r>
      <w:r w:rsidR="00D21A68">
        <w:fldChar w:fldCharType="separate"/>
      </w:r>
      <w:r w:rsidR="00D21A68" w:rsidRPr="00D21A68">
        <w:rPr>
          <w:noProof/>
        </w:rPr>
        <w:t>(20)</w:t>
      </w:r>
      <w:r w:rsidR="00D21A68">
        <w:fldChar w:fldCharType="end"/>
      </w:r>
      <w:r w:rsidRPr="004836AF">
        <w:t xml:space="preserve">. </w:t>
      </w:r>
    </w:p>
    <w:p w14:paraId="53AD60D4" w14:textId="77777777" w:rsidR="005E334C" w:rsidRPr="004836AF" w:rsidRDefault="00117609" w:rsidP="004836AF">
      <w:pPr>
        <w:spacing w:before="240" w:after="240" w:line="360" w:lineRule="auto"/>
        <w:jc w:val="both"/>
      </w:pPr>
      <w:proofErr w:type="spellStart"/>
      <w:r w:rsidRPr="004836AF">
        <w:t>Hom</w:t>
      </w:r>
      <w:proofErr w:type="spellEnd"/>
      <w:r w:rsidRPr="004836AF">
        <w:t xml:space="preserve"> Lay Wang en 2006 Publicó un artículo en el que destaca 4 principios básicos para una regeneración ósea predecible:</w:t>
      </w:r>
    </w:p>
    <w:p w14:paraId="3D688227" w14:textId="320C3413" w:rsidR="005E334C" w:rsidRPr="004836AF" w:rsidRDefault="00117609" w:rsidP="004836AF">
      <w:pPr>
        <w:spacing w:before="240" w:after="240" w:line="360" w:lineRule="auto"/>
        <w:jc w:val="both"/>
      </w:pPr>
      <w:r w:rsidRPr="004836AF">
        <w:rPr>
          <w:b/>
        </w:rPr>
        <w:t xml:space="preserve">Cierre primario:  </w:t>
      </w:r>
      <w:r w:rsidRPr="004836AF">
        <w:t>Los bordes de la herida deben ser puestos en contacto, virtualmente en la misma posición que antes del corte. El cierre por segunda intención provoca una cicatrización mas lenta, requiere más remodelación colágena y deja cicatr</w:t>
      </w:r>
      <w:r w:rsidR="00FB6880">
        <w:t>i</w:t>
      </w:r>
      <w:r w:rsidRPr="004836AF">
        <w:t xml:space="preserve">z. El cierre primario crea un entorno inalterable por las bacterias externas. La aproximación pasiva de los bordes permite una cicatrización con menos </w:t>
      </w:r>
      <w:proofErr w:type="spellStart"/>
      <w:r w:rsidRPr="004836AF">
        <w:t>reepitelización</w:t>
      </w:r>
      <w:proofErr w:type="spellEnd"/>
      <w:r w:rsidRPr="004836AF">
        <w:t xml:space="preserve">, formación colágena y contracción de la herida. </w:t>
      </w:r>
      <w:r w:rsidR="00FB6880">
        <w:t xml:space="preserve">La molestia </w:t>
      </w:r>
      <w:r w:rsidRPr="004836AF">
        <w:t>postoperatori</w:t>
      </w:r>
      <w:r w:rsidR="00FB6880">
        <w:t>a</w:t>
      </w:r>
      <w:r w:rsidRPr="004836AF">
        <w:t xml:space="preserve"> será menor al evitar la exposición del tejido conjuntivo subyacente. </w:t>
      </w:r>
      <w:proofErr w:type="spellStart"/>
      <w:r w:rsidRPr="004836AF">
        <w:t>Simion</w:t>
      </w:r>
      <w:proofErr w:type="spellEnd"/>
      <w:r w:rsidRPr="004836AF">
        <w:t xml:space="preserve"> encontró que 99,6% de hueso alrededor de los elementos de fijación cuando </w:t>
      </w:r>
      <w:r w:rsidRPr="004836AF">
        <w:lastRenderedPageBreak/>
        <w:t xml:space="preserve">no había exposición de la membrana y sólo un 48,6% cuando había exposición de la misma y cierre por segunda intención. Los factores que impiden la cicatrización en personas sanas son materiales extraños, tejidos necróticos, compromiso del aporte sanguíneo y la tensión del colgajo. Estos factores junto con la contaminación de la herida  cuando existe exposición de la membrana pueden explicar la menor formación ósea. </w:t>
      </w:r>
      <w:r w:rsidRPr="004836AF">
        <w:rPr>
          <w:rFonts w:eastAsia="Arial Unicode MS"/>
        </w:rPr>
        <w:t>El correcto diseño del colgajo, libre de tensión al cierre y los cuidados postoperatorios son fundamentales para obtener y mantener un cierre primario</w:t>
      </w:r>
      <w:r w:rsidR="00766EC4">
        <w:rPr>
          <w:rFonts w:eastAsia="Arial Unicode MS"/>
        </w:rPr>
        <w:fldChar w:fldCharType="begin" w:fldLock="1"/>
      </w:r>
      <w:r w:rsidR="00766EC4">
        <w:rPr>
          <w:rFonts w:eastAsia="Arial Unicode MS"/>
        </w:rPr>
        <w:instrText>ADDIN CSL_CITATION {"citationItems":[{"id":"ITEM-1","itemData":{"DOI":"10.1097/01.id.0000204762.39826.0f","ISSN":"10566163","abstract":"Guided bone regeneration is a well-established technique used for augmentation of deficient alveolar ridges. Predictable regeneration requires both a high level of technical skill and a thorough understanding of underlying principles of wound healing. This article describes the 4 major biologic principles (i.e., PASS) necessary for predictable bone regeneration: primary wound closure to ensure undisturbed and uninterrupted wound healing, angiogenesis to provide necessary blood supply and undifferentiated mesenchymal cells, space maintenance/creation to facilitate adequate space for bone ingrowth, and stability of wound and implant to induce blood clot formation and uneventful healing events. In addition, a novel flap design and clinical cases using this principle are presented.","author":[{"dropping-particle":"","family":"Wang","given":"Hom Lay","non-dropping-particle":"","parse-names":false,"suffix":""},{"dropping-particle":"","family":"Boyapati","given":"Lakshmi","non-dropping-particle":"","parse-names":false,"suffix":""}],"container-title":"Implant Dentistry","id":"ITEM-1","issue":"1","issued":{"date-parts":[["2006"]]},"page":"8-17","title":"\"pASS\" principles for predictable bone regeneration","type":"article-journal","volume":"15"},"uris":["http://www.mendeley.com/documents/?uuid=3f7aca06-a1c8-4c83-a710-20682ec3102b"]}],"mendeley":{"formattedCitation":"(15)","plainTextFormattedCitation":"(15)","previouslyFormattedCitation":"(15)"},"properties":{"noteIndex":0},"schema":"https://github.com/citation-style-language/schema/raw/master/csl-citation.json"}</w:instrText>
      </w:r>
      <w:r w:rsidR="00766EC4">
        <w:rPr>
          <w:rFonts w:eastAsia="Arial Unicode MS"/>
        </w:rPr>
        <w:fldChar w:fldCharType="separate"/>
      </w:r>
      <w:r w:rsidR="00766EC4">
        <w:rPr>
          <w:rFonts w:eastAsia="Arial Unicode MS"/>
          <w:noProof/>
        </w:rPr>
        <w:t>(</w:t>
      </w:r>
      <w:r w:rsidR="00766EC4" w:rsidRPr="00766EC4">
        <w:rPr>
          <w:rFonts w:eastAsia="Arial Unicode MS"/>
          <w:noProof/>
        </w:rPr>
        <w:t>15)</w:t>
      </w:r>
      <w:r w:rsidR="00766EC4">
        <w:rPr>
          <w:rFonts w:eastAsia="Arial Unicode MS"/>
        </w:rPr>
        <w:fldChar w:fldCharType="end"/>
      </w:r>
      <w:r w:rsidRPr="004836AF">
        <w:rPr>
          <w:rFonts w:eastAsia="Arial Unicode MS"/>
        </w:rPr>
        <w:t xml:space="preserve">. Según un estudio de </w:t>
      </w:r>
      <w:proofErr w:type="spellStart"/>
      <w:r w:rsidRPr="004836AF">
        <w:rPr>
          <w:rFonts w:eastAsia="Arial Unicode MS"/>
        </w:rPr>
        <w:t>Burkhardt</w:t>
      </w:r>
      <w:proofErr w:type="spellEnd"/>
      <w:r w:rsidRPr="004836AF">
        <w:rPr>
          <w:rFonts w:eastAsia="Arial Unicode MS"/>
        </w:rPr>
        <w:t xml:space="preserve"> y </w:t>
      </w:r>
      <w:proofErr w:type="spellStart"/>
      <w:r w:rsidRPr="004836AF">
        <w:rPr>
          <w:rFonts w:eastAsia="Arial Unicode MS"/>
        </w:rPr>
        <w:t>Lang</w:t>
      </w:r>
      <w:proofErr w:type="spellEnd"/>
      <w:r w:rsidRPr="004836AF">
        <w:rPr>
          <w:rFonts w:eastAsia="Arial Unicode MS"/>
        </w:rPr>
        <w:t xml:space="preserve">, fuerzas  de cierre mayores a </w:t>
      </w:r>
      <w:proofErr w:type="spellStart"/>
      <w:r w:rsidRPr="004836AF">
        <w:rPr>
          <w:rFonts w:eastAsia="Arial Unicode MS"/>
        </w:rPr>
        <w:t>0,1N</w:t>
      </w:r>
      <w:proofErr w:type="spellEnd"/>
      <w:r w:rsidRPr="004836AF">
        <w:rPr>
          <w:rFonts w:eastAsia="Arial Unicode MS"/>
        </w:rPr>
        <w:t xml:space="preserve"> pueden incrementar la tasa de </w:t>
      </w:r>
      <w:proofErr w:type="spellStart"/>
      <w:r w:rsidRPr="004836AF">
        <w:rPr>
          <w:rFonts w:eastAsia="Arial Unicode MS"/>
        </w:rPr>
        <w:t>dehisencia</w:t>
      </w:r>
      <w:proofErr w:type="spellEnd"/>
      <w:r w:rsidRPr="004836AF">
        <w:rPr>
          <w:rFonts w:eastAsia="Arial Unicode MS"/>
        </w:rPr>
        <w:t xml:space="preserve"> de la herida (≥40%)</w:t>
      </w:r>
      <w:r w:rsidR="00766EC4">
        <w:rPr>
          <w:rFonts w:eastAsia="Arial Unicode MS"/>
        </w:rPr>
        <w:fldChar w:fldCharType="begin" w:fldLock="1"/>
      </w:r>
      <w:r w:rsidR="00766EC4">
        <w:rPr>
          <w:rFonts w:eastAsia="Arial Unicode MS"/>
        </w:rPr>
        <w:instrText>ADDIN CSL_CITATION {"citationItems":[{"id":"ITEM-1","itemData":{"DOI":"10.1111/j.1600-0501.2009.01829.x","ISSN":"09057161","abstract":"AIM: To evaluate the role of suture tension in primary wound closure of mucoperiosteal flaps.\\n\\nMATERIALS AND METHODS: Sixty patients, scheduled for a single implant installation, were recruited. Before suturing, the wound closing forces were measured with an electronic tension device. One week after the surgery, the wounds were inspected with regard to complete closure.\\n\\nRESULTS: The applied tension varied between 0.01 and 0.4 N. In 72% a tension of 0.01-0.1 N was applied, resulting in few dehiscences (10%). Higher closing forces (&gt;0.1 N) increased the percentage of wound dehiscences significantly (&gt; or = 40%).\\n\\nCONCLUSIONS: It appears necessary to control flap tension at the time of wound closure to achieve a primary closure.","author":[{"dropping-particle":"","family":"Burkhardt","given":"R.","non-dropping-particle":"","parse-names":false,"suffix":""},{"dropping-particle":"","family":"Lang","given":"N. P.","non-dropping-particle":"","parse-names":false,"suffix":""}],"container-title":"Clinical Oral Implants Research","id":"ITEM-1","issue":"1","issued":{"date-parts":[["2010"]]},"page":"50-54","title":"Role of flap tension in primary wound closure of mucoperiosteal flaps: A prospective cohort study","type":"article-journal","volume":"21"},"uris":["http://www.mendeley.com/documents/?uuid=14fa054d-78e0-4827-ba6a-0e78f9e67a31"]}],"mendeley":{"formattedCitation":"(21)","plainTextFormattedCitation":"(21)","previouslyFormattedCitation":"(21)"},"properties":{"noteIndex":0},"schema":"https://github.com/citation-style-language/schema/raw/master/csl-citation.json"}</w:instrText>
      </w:r>
      <w:r w:rsidR="00766EC4">
        <w:rPr>
          <w:rFonts w:eastAsia="Arial Unicode MS"/>
        </w:rPr>
        <w:fldChar w:fldCharType="separate"/>
      </w:r>
      <w:r w:rsidR="00766EC4" w:rsidRPr="00766EC4">
        <w:rPr>
          <w:rFonts w:eastAsia="Arial Unicode MS"/>
          <w:noProof/>
        </w:rPr>
        <w:t>(21)</w:t>
      </w:r>
      <w:r w:rsidR="00766EC4">
        <w:rPr>
          <w:rFonts w:eastAsia="Arial Unicode MS"/>
        </w:rPr>
        <w:fldChar w:fldCharType="end"/>
      </w:r>
      <w:r w:rsidRPr="004836AF">
        <w:rPr>
          <w:rFonts w:eastAsia="Arial Unicode MS"/>
        </w:rPr>
        <w:t xml:space="preserve">. </w:t>
      </w:r>
    </w:p>
    <w:p w14:paraId="6D55E38A" w14:textId="388EBB68" w:rsidR="005E334C" w:rsidRPr="004836AF" w:rsidRDefault="00117609" w:rsidP="004836AF">
      <w:pPr>
        <w:spacing w:before="240" w:after="240" w:line="360" w:lineRule="auto"/>
        <w:jc w:val="both"/>
      </w:pPr>
      <w:r w:rsidRPr="004836AF">
        <w:rPr>
          <w:b/>
        </w:rPr>
        <w:t xml:space="preserve">Angiogénesis: </w:t>
      </w:r>
      <w:r w:rsidRPr="004836AF">
        <w:t xml:space="preserve">La cicatrización alrededor de los implantes es similar a la de otras partes del cuerpo. Luego de la instalación, en las primeras </w:t>
      </w:r>
      <w:proofErr w:type="spellStart"/>
      <w:r w:rsidRPr="004836AF">
        <w:t>24hs</w:t>
      </w:r>
      <w:proofErr w:type="spellEnd"/>
      <w:r w:rsidRPr="004836AF">
        <w:t xml:space="preserve"> se forma un coágulo alrededor del implante y en el espacio creado por el biomaterial y la membrana. Éste es removido por neutrófilos y macrófagos, comenzando la formación de tejido de granulación en los siguientes días y semanas. Dicho tejido es rico en vasos sanguíneos, fundamentales para la formación del </w:t>
      </w:r>
      <w:proofErr w:type="spellStart"/>
      <w:r w:rsidRPr="004836AF">
        <w:t>osteoide</w:t>
      </w:r>
      <w:proofErr w:type="spellEnd"/>
      <w:r w:rsidRPr="004836AF">
        <w:t xml:space="preserve">, que luego se  mineraliza (hueso reticular) y  termina en hueso laminar por remodelación secundaria. Existe una relación directa entre los vasos recién formados y el hueso nuevo. Está demostrado que son necesarios entre 6 y 9 meses para rellenar completamente el espacio ocupado en un principio por el coágulo. </w:t>
      </w:r>
      <w:r w:rsidR="00766EC4">
        <w:fldChar w:fldCharType="begin" w:fldLock="1"/>
      </w:r>
      <w:r w:rsidR="00766EC4">
        <w:instrText>ADDIN CSL_CITATION {"citationItems":[{"id":"ITEM-1","itemData":{"DOI":"10.1097/01.id.0000204762.39826.0f","ISSN":"10566163","abstract":"Guided bone regeneration is a well-established technique used for augmentation of deficient alveolar ridges. Predictable regeneration requires both a high level of technical skill and a thorough understanding of underlying principles of wound healing. This article describes the 4 major biologic principles (i.e., PASS) necessary for predictable bone regeneration: primary wound closure to ensure undisturbed and uninterrupted wound healing, angiogenesis to provide necessary blood supply and undifferentiated mesenchymal cells, space maintenance/creation to facilitate adequate space for bone ingrowth, and stability of wound and implant to induce blood clot formation and uneventful healing events. In addition, a novel flap design and clinical cases using this principle are presented.","author":[{"dropping-particle":"","family":"Wang","given":"Hom Lay","non-dropping-particle":"","parse-names":false,"suffix":""},{"dropping-particle":"","family":"Boyapati","given":"Lakshmi","non-dropping-particle":"","parse-names":false,"suffix":""}],"container-title":"Implant Dentistry","id":"ITEM-1","issue":"1","issued":{"date-parts":[["2006"]]},"page":"8-17","title":"\"pASS\" principles for predictable bone regeneration","type":"article-journal","volume":"15"},"uris":["http://www.mendeley.com/documents/?uuid=3f7aca06-a1c8-4c83-a710-20682ec3102b"]}],"mendeley":{"formattedCitation":"(15)","plainTextFormattedCitation":"(15)","previouslyFormattedCitation":"(15)"},"properties":{"noteIndex":0},"schema":"https://github.com/citation-style-language/schema/raw/master/csl-citation.json"}</w:instrText>
      </w:r>
      <w:r w:rsidR="00766EC4">
        <w:fldChar w:fldCharType="separate"/>
      </w:r>
      <w:r w:rsidR="00766EC4" w:rsidRPr="00766EC4">
        <w:rPr>
          <w:noProof/>
        </w:rPr>
        <w:t>(15)</w:t>
      </w:r>
      <w:r w:rsidR="00766EC4">
        <w:fldChar w:fldCharType="end"/>
      </w:r>
      <w:r w:rsidRPr="004836AF">
        <w:t xml:space="preserve"> </w:t>
      </w:r>
      <w:proofErr w:type="spellStart"/>
      <w:r w:rsidRPr="004836AF">
        <w:t>Buser</w:t>
      </w:r>
      <w:proofErr w:type="spellEnd"/>
      <w:r w:rsidRPr="004836AF">
        <w:t xml:space="preserve">, propuso perforar la cortical hasta la medular para mejorar la migración celular con potencial </w:t>
      </w:r>
      <w:proofErr w:type="spellStart"/>
      <w:r w:rsidRPr="004836AF">
        <w:t>angiogénico</w:t>
      </w:r>
      <w:proofErr w:type="spellEnd"/>
      <w:r w:rsidRPr="004836AF">
        <w:t xml:space="preserve"> y </w:t>
      </w:r>
      <w:proofErr w:type="spellStart"/>
      <w:r w:rsidRPr="004836AF">
        <w:t>osteogénico</w:t>
      </w:r>
      <w:proofErr w:type="spellEnd"/>
      <w:r w:rsidR="00766EC4">
        <w:fldChar w:fldCharType="begin" w:fldLock="1"/>
      </w:r>
      <w:r w:rsidR="00766EC4">
        <w:instrText>ADDIN CSL_CITATION {"citationItems":[{"id":"ITEM-1","itemData":{"ISSN":"0198-7569","PMID":"8330945","abstract":"A new surgical technique for localized ridge augmentation prior to the placement of dental implants has been developed. The technique is based on the principle of guided bone regeneration utilizing barrier membranes. In the present article, the currently used surgical procedure is presented through two case reports. In addition, the different aspects of the surgical technique needed to achieve a predictable success are discussed.","author":[{"dropping-particle":"","family":"Buser","given":"D","non-dropping-particle":"","parse-names":false,"suffix":""},{"dropping-particle":"","family":"Dula","given":"K","non-dropping-particle":"","parse-names":false,"suffix":""},{"dropping-particle":"","family":"Belser","given":"U","non-dropping-particle":"","parse-names":false,"suffix":""},{"dropping-particle":"","family":"Hirt","given":"H P","non-dropping-particle":"","parse-names":false,"suffix":""},{"dropping-particle":"","family":"Berthold","given":"H","non-dropping-particle":"","parse-names":false,"suffix":""}],"container-title":"The International journal of periodontics &amp; restorative dentistry","id":"ITEM-1","issue":"1","issued":{"date-parts":[["1993"]]},"page":"29-45","title":"Localized ridge augmentation using guided bone regeneration. 1. Surgical procedure in the maxilla.","type":"article-journal","volume":"13"},"uris":["http://www.mendeley.com/documents/?uuid=171e1bd6-0ca8-4ddf-aeda-9f7b21f3cf0c"]}],"mendeley":{"formattedCitation":"(22)","plainTextFormattedCitation":"(22)","previouslyFormattedCitation":"(22)"},"properties":{"noteIndex":0},"schema":"https://github.com/citation-style-language/schema/raw/master/csl-citation.json"}</w:instrText>
      </w:r>
      <w:r w:rsidR="00766EC4">
        <w:fldChar w:fldCharType="separate"/>
      </w:r>
      <w:r w:rsidR="00766EC4" w:rsidRPr="00766EC4">
        <w:rPr>
          <w:noProof/>
        </w:rPr>
        <w:t>(22)</w:t>
      </w:r>
      <w:r w:rsidR="00766EC4">
        <w:fldChar w:fldCharType="end"/>
      </w:r>
      <w:r w:rsidR="00766EC4">
        <w:fldChar w:fldCharType="begin" w:fldLock="1"/>
      </w:r>
      <w:r w:rsidR="00766EC4">
        <w:instrText>ADDIN CSL_CITATION {"citationItems":[{"id":"ITEM-1","itemData":{"DOI":"10.1902/jop.2013.120753","ISSN":"0022-3492","abstract":"BACKGROUND: Intramarrow penetration (IMP) is often incorporated in regenerative periodontal surgical procedures. However, the actual benefits of adding IMP to such a procedure remain undocumented. The purpose of this randomized controlled trial was to investigate the contribution of IMP to the outcomes of open-flap debridement (OFD) treatment of intrabony defects.\\n\\nMETHODS: Forty-two chronic periodontitis patients, each contributing a 2-wall, 3-wall, or combined 2- to 3-wall intrabony defect, were treated. Sites were randomly assigned into one of two groups: control (OFD alone) or test (OFD + IMP). Papilla preservation flaps were raised, and defects were thoroughly debrided. In the control group, complete primary closure of flaps was ensured after debridement. In the test group, IMP was performed before flap closure, using a round bur to penetrate the cortical defect wall. Clinical and radiographic parameters were assessed at baseline and 12 months after treatment.\\n\\nRESULTS: At baseline, there were no statistically significant differences between groups. At 12 months, both groups experienced significant improvements, in terms of probing depth reduction, clinical attachment level (CAL) gain, and bone level (clinical and radiographic). The test group experienced significantly greater clinical bone gain (3.07 ± 1.74 mm) and prevalence of CAL gain ≥2 mm (93% of sites) compared with the control group (1.76 ± 2.71 mm, P &lt;0.03; 62%, P = 0.024). The test treatment benefits were particularly evident in mandibular sites, in which OFD + IMP doubled the radiographic bone gain obtained by OFD alone.\\n\\nCONCLUSION: Addition of IMP to an OFD procedure used to treat intrabony defects results in statistically and clinically significant enhancement of both clinical and radiographic outcomes.","author":[{"dropping-particle":"","family":"Crea","given":"Alessandro","non-dropping-particle":"","parse-names":false,"suffix":""},{"dropping-particle":"","family":"Deli","given":"Giorgio","non-dropping-particle":"","parse-names":false,"suffix":""},{"dropping-particle":"","family":"Littarru","given":"Cristiano","non-dropping-particle":"","parse-names":false,"suffix":""},{"dropping-particle":"","family":"Lajolo","given":"Carlo","non-dropping-particle":"","parse-names":false,"suffix":""},{"dropping-particle":"","family":"Orgeas","given":"Gianluca Vittorini","non-dropping-particle":"","parse-names":false,"suffix":""},{"dropping-particle":"","family":"Tatakis","given":"Dimitris N.","non-dropping-particle":"","parse-names":false,"suffix":""}],"container-title":"Journal of Periodontology","id":"ITEM-1","issue":"1","issued":{"date-parts":[["2014"]]},"page":"34-42","title":"Intrabony Defects, Open-Flap Debridement, and Decortication: A Randomized Clinical Trial","type":"article-journal","volume":"85"},"uris":["http://www.mendeley.com/documents/?uuid=dbcd8ac8-b868-4a39-8bd6-dd0d8f594cce"]}],"mendeley":{"formattedCitation":"(23)","plainTextFormattedCitation":"(23)","previouslyFormattedCitation":"(23)"},"properties":{"noteIndex":0},"schema":"https://github.com/citation-style-language/schema/raw/master/csl-citation.json"}</w:instrText>
      </w:r>
      <w:r w:rsidR="00766EC4">
        <w:fldChar w:fldCharType="separate"/>
      </w:r>
      <w:r w:rsidR="00766EC4" w:rsidRPr="00766EC4">
        <w:rPr>
          <w:noProof/>
        </w:rPr>
        <w:t>(23)</w:t>
      </w:r>
      <w:r w:rsidR="00766EC4">
        <w:fldChar w:fldCharType="end"/>
      </w:r>
      <w:r w:rsidRPr="004836AF">
        <w:t xml:space="preserve">. La medular  aporta células indiferenciadas que se pueden transformar en osteoblastos y osteoclastos, ya que los primeros derivan de células madre </w:t>
      </w:r>
      <w:proofErr w:type="spellStart"/>
      <w:r w:rsidRPr="004836AF">
        <w:t>mesenquimáticas</w:t>
      </w:r>
      <w:proofErr w:type="spellEnd"/>
      <w:r w:rsidRPr="004836AF">
        <w:t xml:space="preserve"> (estroma de la médula ósea) y los segundos de progenitores hematopoyéticos (linaje de monocitos).</w:t>
      </w:r>
      <w:r w:rsidR="00766EC4" w:rsidRPr="004836AF">
        <w:t xml:space="preserve"> </w:t>
      </w:r>
      <w:r w:rsidRPr="004836AF">
        <w:t>Incluso las perforaciones pueden servir como trabas mecánicas</w:t>
      </w:r>
      <w:r w:rsidR="00766EC4">
        <w:t xml:space="preserve"> </w:t>
      </w:r>
      <w:r w:rsidR="00766EC4">
        <w:fldChar w:fldCharType="begin" w:fldLock="1"/>
      </w:r>
      <w:r w:rsidR="00766EC4">
        <w:instrText>ADDIN CSL_CITATION {"citationItems":[{"id":"ITEM-1","itemData":{"DOI":"10.3390/ma8062953","ISSN":"19961944","abstract":"© 2015 by the authors. Alveolar bone augmentation in vertical dimension remains the holy grail of periodontal tissue engineering. Successful dental implant placement for restoration of edentulous sites depends on the quality and quantity of alveolar bone available in all spatial dimensions. There are several surgical techniques used alone or in combination with natural or synthetic graft materials to achieve vertical alveolar bone augmentation. While continuously improving surgical techniques combined with the use of auto- or allografts provide the most predictable clinical outcomes, their success often depends on the status of recipient tissues. The morbidity associated with donor sites for auto-grafts makes these techniques less appealing to both patients and clinicians. New developments in material sciences offer a range of synthetic replacements for natural grafts to address theshortcoming of a second surgical site and relatively high resorption rates. This narrative review focuses on existing techniques, natural tissues and synthetic biomaterials commonly used to achieve vertical bone height gain in order to successfully restore edentulous ridges with implant-supported prostheses.","author":[{"dropping-particle":"","family":"Sheikh","given":"Zeeshan","non-dropping-particle":"","parse-names":false,"suffix":""},{"dropping-particle":"","family":"Sima","given":"Corneliu","non-dropping-particle":"","parse-names":false,"suffix":""},{"dropping-particle":"","family":"Glogauer","given":"Michael","non-dropping-particle":"","parse-names":false,"suffix":""}],"container-title":"Materials","id":"ITEM-1","issue":"6","issued":{"date-parts":[["2015"]]},"page":"2953-2993","publisher":"MDPI AG","title":"Bone replacement materials and techniques used for achieving vertical alveolar bone augmentation","type":"article-journal","volume":"8"},"uris":["http://www.mendeley.com/documents/?uuid=546f8a9c-8efd-33b3-8bde-eaa0efb3b2b0"]}],"mendeley":{"formattedCitation":"(24)","plainTextFormattedCitation":"(24)","previouslyFormattedCitation":"(24)"},"properties":{"noteIndex":0},"schema":"https://github.com/citation-style-language/schema/raw/master/csl-citation.json"}</w:instrText>
      </w:r>
      <w:r w:rsidR="00766EC4">
        <w:fldChar w:fldCharType="separate"/>
      </w:r>
      <w:r w:rsidR="00766EC4" w:rsidRPr="00766EC4">
        <w:rPr>
          <w:noProof/>
        </w:rPr>
        <w:t>(24)</w:t>
      </w:r>
      <w:r w:rsidR="00766EC4">
        <w:fldChar w:fldCharType="end"/>
      </w:r>
      <w:r w:rsidR="00766EC4">
        <w:t>.</w:t>
      </w:r>
    </w:p>
    <w:p w14:paraId="13070904" w14:textId="0612AD1E" w:rsidR="005E334C" w:rsidRPr="004836AF" w:rsidRDefault="00117609" w:rsidP="004836AF">
      <w:pPr>
        <w:spacing w:before="240" w:after="240" w:line="360" w:lineRule="auto"/>
        <w:jc w:val="both"/>
      </w:pPr>
      <w:r w:rsidRPr="004836AF">
        <w:rPr>
          <w:b/>
        </w:rPr>
        <w:t xml:space="preserve">Creación/mantenimiento de Espacio: </w:t>
      </w:r>
      <w:r w:rsidRPr="004836AF">
        <w:t>La creación de espacio es un principio fundamental para la ROG. Es necesario para asegurar la proliferación de las células formadoras de hueso. Existen aspectos locales que dificultan este principio. Uno es el patrón de reabsorción óseo que genera un defecto sin contención cubierto por tejidos blandos, músculos y/o prótesis. El segundo  es la relativamente alta tasa de recambio de los tejidos blandos durante la cicatrización de la mucosa que podrá tomar el espacio si no se colocan barreras</w:t>
      </w:r>
      <w:r w:rsidR="00766EC4">
        <w:t xml:space="preserve"> </w:t>
      </w:r>
      <w:r w:rsidR="00766EC4">
        <w:fldChar w:fldCharType="begin" w:fldLock="1"/>
      </w:r>
      <w:r w:rsidR="00766EC4">
        <w:instrText>ADDIN CSL_CITATION {"citationItems":[{"id":"ITEM-1","itemData":{"DOI":"10.3390/ma8062953","ISSN":"19961944","abstract":"© 2015 by the authors. Alveolar bone augmentation in vertical dimension remains the holy grail of periodontal tissue engineering. Successful dental implant placement for restoration of edentulous sites depends on the quality and quantity of alveolar bone available in all spatial dimensions. There are several surgical techniques used alone or in combination with natural or synthetic graft materials to achieve vertical alveolar bone augmentation. While continuously improving surgical techniques combined with the use of auto- or allografts provide the most predictable clinical outcomes, their success often depends on the status of recipient tissues. The morbidity associated with donor sites for auto-grafts makes these techniques less appealing to both patients and clinicians. New developments in material sciences offer a range of synthetic replacements for natural grafts to address theshortcoming of a second surgical site and relatively high resorption rates. This narrative review focuses on existing techniques, natural tissues and synthetic biomaterials commonly used to achieve vertical bone height gain in order to successfully restore edentulous ridges with implant-supported prostheses.","author":[{"dropping-particle":"","family":"Sheikh","given":"Zeeshan","non-dropping-particle":"","parse-names":false,"suffix":""},{"dropping-particle":"","family":"Sima","given":"Corneliu","non-dropping-particle":"","parse-names":false,"suffix":""},{"dropping-particle":"","family":"Glogauer","given":"Michael","non-dropping-particle":"","parse-names":false,"suffix":""}],"container-title":"Materials","id":"ITEM-1","issue":"6","issued":{"date-parts":[["2015"]]},"page":"2953-2993","publisher":"MDPI AG","title":"Bone replacement materials and techniques used for achieving vertical alveolar bone augmentation","type":"article-journal","volume":"8"},"uris":["http://www.mendeley.com/documents/?uuid=546f8a9c-8efd-33b3-8bde-eaa0efb3b2b0"]}],"mendeley":{"formattedCitation":"(24)","plainTextFormattedCitation":"(24)","previouslyFormattedCitation":"(24)"},"properties":{"noteIndex":0},"schema":"https://github.com/citation-style-language/schema/raw/master/csl-citation.json"}</w:instrText>
      </w:r>
      <w:r w:rsidR="00766EC4">
        <w:fldChar w:fldCharType="separate"/>
      </w:r>
      <w:r w:rsidR="00766EC4" w:rsidRPr="00766EC4">
        <w:rPr>
          <w:noProof/>
        </w:rPr>
        <w:t>(24)</w:t>
      </w:r>
      <w:r w:rsidR="00766EC4">
        <w:fldChar w:fldCharType="end"/>
      </w:r>
      <w:r w:rsidRPr="004836AF">
        <w:t>.  Las membranas reforzadas permiten el mantenimiento del espacio previniendo el colapso por la presión de los tejidos. Según Wang la literatura parece sugerir que el principal rol del material de injerto es la creación o mantenimiento del espacio</w:t>
      </w:r>
      <w:r w:rsidR="00766EC4">
        <w:t xml:space="preserve"> </w:t>
      </w:r>
      <w:r w:rsidR="00766EC4">
        <w:fldChar w:fldCharType="begin" w:fldLock="1"/>
      </w:r>
      <w:r w:rsidR="00766EC4">
        <w:instrText>ADDIN CSL_CITATION {"citationItems":[{"id":"ITEM-1","itemData":{"DOI":"10.1097/01.id.0000204762.39826.0f","ISSN":"10566163","abstract":"Guided bone regeneration is a well-established technique used for augmentation of deficient alveolar ridges. Predictable regeneration requires both a high level of technical skill and a thorough understanding of underlying principles of wound healing. This article describes the 4 major biologic principles (i.e., PASS) necessary for predictable bone regeneration: primary wound closure to ensure undisturbed and uninterrupted wound healing, angiogenesis to provide necessary blood supply and undifferentiated mesenchymal cells, space maintenance/creation to facilitate adequate space for bone ingrowth, and stability of wound and implant to induce blood clot formation and uneventful healing events. In addition, a novel flap design and clinical cases using this principle are presented.","author":[{"dropping-particle":"","family":"Wang","given":"Hom Lay","non-dropping-particle":"","parse-names":false,"suffix":""},{"dropping-particle":"","family":"Boyapati","given":"Lakshmi","non-dropping-particle":"","parse-names":false,"suffix":""}],"container-title":"Implant Dentistry","id":"ITEM-1","issue":"1","issued":{"date-parts":[["2006"]]},"page":"8-17","title":"\"pASS\" principles for predictable bone regeneration","type":"article-journal","volume":"15"},"uris":["http://www.mendeley.com/documents/?uuid=3f7aca06-a1c8-4c83-a710-20682ec3102b"]}],"mendeley":{"formattedCitation":"(15)","plainTextFormattedCitation":"(15)","previouslyFormattedCitation":"(15)"},"properties":{"noteIndex":0},"schema":"https://github.com/citation-style-language/schema/raw/master/csl-citation.json"}</w:instrText>
      </w:r>
      <w:r w:rsidR="00766EC4">
        <w:fldChar w:fldCharType="separate"/>
      </w:r>
      <w:r w:rsidR="00766EC4" w:rsidRPr="00766EC4">
        <w:rPr>
          <w:noProof/>
        </w:rPr>
        <w:t>(15)</w:t>
      </w:r>
      <w:r w:rsidR="00766EC4">
        <w:fldChar w:fldCharType="end"/>
      </w:r>
      <w:r w:rsidRPr="004836AF">
        <w:t xml:space="preserve">. </w:t>
      </w:r>
    </w:p>
    <w:p w14:paraId="0FF196E1" w14:textId="10C18C9E" w:rsidR="005E334C" w:rsidRPr="004836AF" w:rsidRDefault="00117609" w:rsidP="004836AF">
      <w:pPr>
        <w:spacing w:before="240" w:after="240" w:line="360" w:lineRule="auto"/>
        <w:jc w:val="both"/>
      </w:pPr>
      <w:r w:rsidRPr="004836AF">
        <w:rPr>
          <w:b/>
        </w:rPr>
        <w:lastRenderedPageBreak/>
        <w:t>Estabilidad</w:t>
      </w:r>
      <w:r w:rsidRPr="004836AF">
        <w:t xml:space="preserve">: Las membranas además de generar una barrera excluyendo células no deseadas, estabilizan el coágulo. Es muy importante la adhesión inicial del coágulo y estabilización de la herida. El mismo es una fuente de citoquinas, factores de crecimiento y moléculas que reclutan células de limpieza hacia la herida. El factor de crecimiento derivado de las plaquetas en particular tiene poder </w:t>
      </w:r>
      <w:proofErr w:type="spellStart"/>
      <w:r w:rsidRPr="004836AF">
        <w:t>mitogénico</w:t>
      </w:r>
      <w:proofErr w:type="spellEnd"/>
      <w:r w:rsidRPr="004836AF">
        <w:t xml:space="preserve"> y </w:t>
      </w:r>
      <w:proofErr w:type="spellStart"/>
      <w:r w:rsidRPr="004836AF">
        <w:t>quimiotáctico</w:t>
      </w:r>
      <w:proofErr w:type="spellEnd"/>
      <w:r w:rsidRPr="004836AF">
        <w:t xml:space="preserve"> sobre los monocitos y neutrófilos</w:t>
      </w:r>
      <w:r w:rsidR="00766EC4">
        <w:t xml:space="preserve"> </w:t>
      </w:r>
      <w:r w:rsidR="00766EC4">
        <w:fldChar w:fldCharType="begin" w:fldLock="1"/>
      </w:r>
      <w:r w:rsidR="00766EC4">
        <w:instrText>ADDIN CSL_CITATION {"citationItems":[{"id":"ITEM-1","itemData":{"DOI":"10.1097/01.id.0000204762.39826.0f","ISSN":"10566163","abstract":"Guided bone regeneration is a well-established technique used for augmentation of deficient alveolar ridges. Predictable regeneration requires both a high level of technical skill and a thorough understanding of underlying principles of wound healing. This article describes the 4 major biologic principles (i.e., PASS) necessary for predictable bone regeneration: primary wound closure to ensure undisturbed and uninterrupted wound healing, angiogenesis to provide necessary blood supply and undifferentiated mesenchymal cells, space maintenance/creation to facilitate adequate space for bone ingrowth, and stability of wound and implant to induce blood clot formation and uneventful healing events. In addition, a novel flap design and clinical cases using this principle are presented.","author":[{"dropping-particle":"","family":"Wang","given":"Hom Lay","non-dropping-particle":"","parse-names":false,"suffix":""},{"dropping-particle":"","family":"Boyapati","given":"Lakshmi","non-dropping-particle":"","parse-names":false,"suffix":""}],"container-title":"Implant Dentistry","id":"ITEM-1","issue":"1","issued":{"date-parts":[["2006"]]},"page":"8-17","title":"\"pASS\" principles for predictable bone regeneration","type":"article-journal","volume":"15"},"uris":["http://www.mendeley.com/documents/?uuid=3f7aca06-a1c8-4c83-a710-20682ec3102b"]}],"mendeley":{"formattedCitation":"(15)","plainTextFormattedCitation":"(15)","previouslyFormattedCitation":"(15)"},"properties":{"noteIndex":0},"schema":"https://github.com/citation-style-language/schema/raw/master/csl-citation.json"}</w:instrText>
      </w:r>
      <w:r w:rsidR="00766EC4">
        <w:fldChar w:fldCharType="separate"/>
      </w:r>
      <w:r w:rsidR="00766EC4" w:rsidRPr="00766EC4">
        <w:rPr>
          <w:noProof/>
        </w:rPr>
        <w:t>(15)</w:t>
      </w:r>
      <w:r w:rsidR="00766EC4">
        <w:fldChar w:fldCharType="end"/>
      </w:r>
      <w:r w:rsidRPr="004836AF">
        <w:t>.</w:t>
      </w:r>
    </w:p>
    <w:p w14:paraId="4235E099" w14:textId="03D9E619" w:rsidR="005E334C" w:rsidRPr="004836AF" w:rsidRDefault="00117609" w:rsidP="004836AF">
      <w:pPr>
        <w:spacing w:before="240" w:after="240" w:line="360" w:lineRule="auto"/>
        <w:jc w:val="both"/>
      </w:pPr>
      <w:proofErr w:type="spellStart"/>
      <w:r w:rsidRPr="004836AF">
        <w:rPr>
          <w:b/>
        </w:rPr>
        <w:t>Os</w:t>
      </w:r>
      <w:r w:rsidR="00B0493C">
        <w:rPr>
          <w:b/>
        </w:rPr>
        <w:t>t</w:t>
      </w:r>
      <w:r w:rsidRPr="004836AF">
        <w:rPr>
          <w:b/>
        </w:rPr>
        <w:t>eogénesis</w:t>
      </w:r>
      <w:proofErr w:type="spellEnd"/>
      <w:r w:rsidRPr="004836AF">
        <w:rPr>
          <w:b/>
        </w:rPr>
        <w:t xml:space="preserve">: </w:t>
      </w:r>
      <w:r w:rsidRPr="004836AF">
        <w:t xml:space="preserve">Para la regeneración ósea es necesario el reclutamiento de los precursores de los osteoblastos y factores de crecimiento en el sitio. Los precursores pueden venir del injerto (autólogo esponjoso) o </w:t>
      </w:r>
      <w:r w:rsidR="00766EC4">
        <w:t>a través d</w:t>
      </w:r>
      <w:r w:rsidRPr="004836AF">
        <w:t>el sitio receptor. Los factores de crecimiento por el injerto, sitio receptor o vasos</w:t>
      </w:r>
      <w:r w:rsidR="00766EC4">
        <w:t xml:space="preserve"> </w:t>
      </w:r>
      <w:r w:rsidR="00766EC4">
        <w:fldChar w:fldCharType="begin" w:fldLock="1"/>
      </w:r>
      <w:r w:rsidR="00B0493C">
        <w:instrText>ADDIN CSL_CITATION {"citationItems":[{"id":"ITEM-1","itemData":{"DOI":"10.3390/ma8062953","ISSN":"19961944","abstract":"© 2015 by the authors. Alveolar bone augmentation in vertical dimension remains the holy grail of periodontal tissue engineering. Successful dental implant placement for restoration of edentulous sites depends on the quality and quantity of alveolar bone available in all spatial dimensions. There are several surgical techniques used alone or in combination with natural or synthetic graft materials to achieve vertical alveolar bone augmentation. While continuously improving surgical techniques combined with the use of auto- or allografts provide the most predictable clinical outcomes, their success often depends on the status of recipient tissues. The morbidity associated with donor sites for auto-grafts makes these techniques less appealing to both patients and clinicians. New developments in material sciences offer a range of synthetic replacements for natural grafts to address theshortcoming of a second surgical site and relatively high resorption rates. This narrative review focuses on existing techniques, natural tissues and synthetic biomaterials commonly used to achieve vertical bone height gain in order to successfully restore edentulous ridges with implant-supported prostheses.","author":[{"dropping-particle":"","family":"Sheikh","given":"Zeeshan","non-dropping-particle":"","parse-names":false,"suffix":""},{"dropping-particle":"","family":"Sima","given":"Corneliu","non-dropping-particle":"","parse-names":false,"suffix":""},{"dropping-particle":"","family":"Glogauer","given":"Michael","non-dropping-particle":"","parse-names":false,"suffix":""}],"container-title":"Materials","id":"ITEM-1","issue":"6","issued":{"date-parts":[["2015"]]},"page":"2953-2993","publisher":"MDPI AG","title":"Bone replacement materials and techniques used for achieving vertical alveolar bone augmentation","type":"article-journal","volume":"8"},"uris":["http://www.mendeley.com/documents/?uuid=546f8a9c-8efd-33b3-8bde-eaa0efb3b2b0"]}],"mendeley":{"formattedCitation":"(24)","plainTextFormattedCitation":"(24)","previouslyFormattedCitation":"(24)"},"properties":{"noteIndex":0},"schema":"https://github.com/citation-style-language/schema/raw/master/csl-citation.json"}</w:instrText>
      </w:r>
      <w:r w:rsidR="00766EC4">
        <w:fldChar w:fldCharType="separate"/>
      </w:r>
      <w:r w:rsidR="00766EC4" w:rsidRPr="00766EC4">
        <w:rPr>
          <w:noProof/>
        </w:rPr>
        <w:t>(24)</w:t>
      </w:r>
      <w:r w:rsidR="00766EC4">
        <w:fldChar w:fldCharType="end"/>
      </w:r>
      <w:r w:rsidRPr="004836AF">
        <w:t xml:space="preserve">. </w:t>
      </w:r>
    </w:p>
    <w:p w14:paraId="27F62387" w14:textId="627CB29F" w:rsidR="005E334C" w:rsidRPr="004836AF" w:rsidRDefault="00117609" w:rsidP="004836AF">
      <w:pPr>
        <w:spacing w:before="240" w:after="240" w:line="360" w:lineRule="auto"/>
        <w:jc w:val="both"/>
      </w:pPr>
      <w:proofErr w:type="spellStart"/>
      <w:r w:rsidRPr="004836AF">
        <w:rPr>
          <w:b/>
        </w:rPr>
        <w:t>Os</w:t>
      </w:r>
      <w:r w:rsidR="00B0493C">
        <w:rPr>
          <w:b/>
        </w:rPr>
        <w:t>t</w:t>
      </w:r>
      <w:r w:rsidRPr="004836AF">
        <w:rPr>
          <w:b/>
        </w:rPr>
        <w:t>eoconducción</w:t>
      </w:r>
      <w:proofErr w:type="spellEnd"/>
      <w:r w:rsidRPr="004836AF">
        <w:rPr>
          <w:b/>
        </w:rPr>
        <w:t xml:space="preserve">: </w:t>
      </w:r>
      <w:r w:rsidRPr="004836AF">
        <w:t xml:space="preserve">La etapa temprana de la </w:t>
      </w:r>
      <w:r w:rsidR="00047F44">
        <w:t>r</w:t>
      </w:r>
      <w:r w:rsidRPr="004836AF">
        <w:t xml:space="preserve">egeneración </w:t>
      </w:r>
      <w:r w:rsidR="00047F44">
        <w:t>ó</w:t>
      </w:r>
      <w:r w:rsidRPr="004836AF">
        <w:t xml:space="preserve">sea es dominada por una activa reabsorción y regeneración a través del injerto. La </w:t>
      </w:r>
      <w:proofErr w:type="spellStart"/>
      <w:r w:rsidRPr="004836AF">
        <w:t>osteoconducción</w:t>
      </w:r>
      <w:proofErr w:type="spellEnd"/>
      <w:r w:rsidRPr="004836AF">
        <w:t xml:space="preserve"> es una función del injerto donde el mismo sirve como un andamio tridimensional para el crecimiento interno de capilares y células </w:t>
      </w:r>
      <w:proofErr w:type="spellStart"/>
      <w:r w:rsidRPr="004836AF">
        <w:t>osteoprogenitoras</w:t>
      </w:r>
      <w:proofErr w:type="spellEnd"/>
      <w:r w:rsidRPr="004836AF">
        <w:t>. La estructura del material y el diseño son críticos para la misma. Los que imitan la química del hueso son óptimos para la diferenciación celular. Son requeridos altos niveles de porosidad para el crecimiento vascular y deposición de la matr</w:t>
      </w:r>
      <w:r w:rsidR="00047F44">
        <w:t>i</w:t>
      </w:r>
      <w:r w:rsidRPr="004836AF">
        <w:t>z ósea. La forma del poro y el tamaño de la interconexión pueden ser factores limitantes para el flujo vascular. Por lo tanto, la composición y el diseño del material deben permitir la reabsorción y conducción para la  formación de hueso nuevo</w:t>
      </w:r>
      <w:r w:rsidR="00B0493C">
        <w:t xml:space="preserve"> </w:t>
      </w:r>
      <w:r w:rsidR="00B0493C">
        <w:fldChar w:fldCharType="begin" w:fldLock="1"/>
      </w:r>
      <w:r w:rsidR="00B0493C">
        <w:instrText>ADDIN CSL_CITATION {"citationItems":[{"id":"ITEM-1","itemData":{"DOI":"10.3390/ma8062953","ISSN":"19961944","abstract":"© 2015 by the authors. Alveolar bone augmentation in vertical dimension remains the holy grail of periodontal tissue engineering. Successful dental implant placement for restoration of edentulous sites depends on the quality and quantity of alveolar bone available in all spatial dimensions. There are several surgical techniques used alone or in combination with natural or synthetic graft materials to achieve vertical alveolar bone augmentation. While continuously improving surgical techniques combined with the use of auto- or allografts provide the most predictable clinical outcomes, their success often depends on the status of recipient tissues. The morbidity associated with donor sites for auto-grafts makes these techniques less appealing to both patients and clinicians. New developments in material sciences offer a range of synthetic replacements for natural grafts to address theshortcoming of a second surgical site and relatively high resorption rates. This narrative review focuses on existing techniques, natural tissues and synthetic biomaterials commonly used to achieve vertical bone height gain in order to successfully restore edentulous ridges with implant-supported prostheses.","author":[{"dropping-particle":"","family":"Sheikh","given":"Zeeshan","non-dropping-particle":"","parse-names":false,"suffix":""},{"dropping-particle":"","family":"Sima","given":"Corneliu","non-dropping-particle":"","parse-names":false,"suffix":""},{"dropping-particle":"","family":"Glogauer","given":"Michael","non-dropping-particle":"","parse-names":false,"suffix":""}],"container-title":"Materials","id":"ITEM-1","issue":"6","issued":{"date-parts":[["2015"]]},"page":"2953-2993","publisher":"MDPI AG","title":"Bone replacement materials and techniques used for achieving vertical alveolar bone augmentation","type":"article-journal","volume":"8"},"uris":["http://www.mendeley.com/documents/?uuid=546f8a9c-8efd-33b3-8bde-eaa0efb3b2b0"]}],"mendeley":{"formattedCitation":"(24)","plainTextFormattedCitation":"(24)","previouslyFormattedCitation":"(24)"},"properties":{"noteIndex":0},"schema":"https://github.com/citation-style-language/schema/raw/master/csl-citation.json"}</w:instrText>
      </w:r>
      <w:r w:rsidR="00B0493C">
        <w:fldChar w:fldCharType="separate"/>
      </w:r>
      <w:r w:rsidR="00B0493C" w:rsidRPr="00B0493C">
        <w:rPr>
          <w:noProof/>
        </w:rPr>
        <w:t>(24)</w:t>
      </w:r>
      <w:r w:rsidR="00B0493C">
        <w:fldChar w:fldCharType="end"/>
      </w:r>
      <w:r w:rsidRPr="004836AF">
        <w:t xml:space="preserve">.  </w:t>
      </w:r>
    </w:p>
    <w:p w14:paraId="28BDB2A2" w14:textId="5F395BA2" w:rsidR="005E334C" w:rsidRPr="004836AF" w:rsidRDefault="00117609" w:rsidP="004836AF">
      <w:pPr>
        <w:spacing w:before="240" w:after="240" w:line="360" w:lineRule="auto"/>
        <w:jc w:val="both"/>
      </w:pPr>
      <w:proofErr w:type="spellStart"/>
      <w:r w:rsidRPr="004836AF">
        <w:rPr>
          <w:b/>
        </w:rPr>
        <w:t>Os</w:t>
      </w:r>
      <w:r w:rsidR="00B0493C">
        <w:rPr>
          <w:b/>
        </w:rPr>
        <w:t>t</w:t>
      </w:r>
      <w:r w:rsidRPr="004836AF">
        <w:rPr>
          <w:b/>
        </w:rPr>
        <w:t>eoinducción</w:t>
      </w:r>
      <w:proofErr w:type="spellEnd"/>
      <w:r w:rsidRPr="004836AF">
        <w:rPr>
          <w:b/>
        </w:rPr>
        <w:t xml:space="preserve">: </w:t>
      </w:r>
      <w:r w:rsidRPr="004836AF">
        <w:t xml:space="preserve">Los precursores de los osteoblastos se transforman en osteoblastos maduros bajo la influencia de los </w:t>
      </w:r>
      <w:proofErr w:type="spellStart"/>
      <w:r w:rsidRPr="004836AF">
        <w:t>os</w:t>
      </w:r>
      <w:r w:rsidR="00D57174">
        <w:t>t</w:t>
      </w:r>
      <w:r w:rsidRPr="004836AF">
        <w:t>eoinductores</w:t>
      </w:r>
      <w:proofErr w:type="spellEnd"/>
      <w:r w:rsidRPr="004836AF">
        <w:t xml:space="preserve">, sintetizando hueso nuevo en las primeras semanas. Los factores de crecimiento (FC) derivados de las plaquetas y los FC de fibroblastos actúan en las primeras etapas de la inducción estimulando la </w:t>
      </w:r>
      <w:proofErr w:type="spellStart"/>
      <w:r w:rsidRPr="004836AF">
        <w:t>la</w:t>
      </w:r>
      <w:proofErr w:type="spellEnd"/>
      <w:r w:rsidRPr="004836AF">
        <w:t xml:space="preserve"> proliferación de osteoblastos y fibroblastos. Las proteínas </w:t>
      </w:r>
      <w:proofErr w:type="spellStart"/>
      <w:r w:rsidRPr="004836AF">
        <w:t>morfogen</w:t>
      </w:r>
      <w:r w:rsidR="00047F44">
        <w:t>é</w:t>
      </w:r>
      <w:r w:rsidRPr="004836AF">
        <w:t>ticas</w:t>
      </w:r>
      <w:proofErr w:type="spellEnd"/>
      <w:r w:rsidRPr="004836AF">
        <w:t xml:space="preserve"> (</w:t>
      </w:r>
      <w:proofErr w:type="spellStart"/>
      <w:r w:rsidRPr="004836AF">
        <w:t>BMPs</w:t>
      </w:r>
      <w:proofErr w:type="spellEnd"/>
      <w:r w:rsidRPr="004836AF">
        <w:t xml:space="preserve">) actúan en etapas posteriores de la </w:t>
      </w:r>
      <w:proofErr w:type="spellStart"/>
      <w:r w:rsidRPr="004836AF">
        <w:t>os</w:t>
      </w:r>
      <w:r w:rsidR="00D57174">
        <w:t>t</w:t>
      </w:r>
      <w:r w:rsidRPr="004836AF">
        <w:t>eoinducción</w:t>
      </w:r>
      <w:proofErr w:type="spellEnd"/>
      <w:r w:rsidRPr="004836AF">
        <w:t xml:space="preserve"> como en la diferenciación de células </w:t>
      </w:r>
      <w:proofErr w:type="spellStart"/>
      <w:r w:rsidRPr="004836AF">
        <w:t>mesenquimáticas</w:t>
      </w:r>
      <w:proofErr w:type="spellEnd"/>
      <w:r w:rsidRPr="004836AF">
        <w:t xml:space="preserve"> y proliferación vascular.</w:t>
      </w:r>
    </w:p>
    <w:p w14:paraId="107ABA5C" w14:textId="170C7A0C" w:rsidR="005E334C" w:rsidRPr="00047F44" w:rsidRDefault="00117609" w:rsidP="004836AF">
      <w:pPr>
        <w:spacing w:before="240" w:after="240" w:line="360" w:lineRule="auto"/>
        <w:jc w:val="both"/>
        <w:rPr>
          <w:b/>
          <w:color w:val="231F20"/>
          <w:sz w:val="24"/>
          <w:szCs w:val="24"/>
        </w:rPr>
      </w:pPr>
      <w:r w:rsidRPr="00047F44">
        <w:rPr>
          <w:b/>
          <w:color w:val="231F20"/>
          <w:sz w:val="24"/>
          <w:szCs w:val="24"/>
        </w:rPr>
        <w:t>3.2 Materiales de injerto</w:t>
      </w:r>
    </w:p>
    <w:p w14:paraId="4F4C162A" w14:textId="22B8EB9C" w:rsidR="005E334C" w:rsidRPr="004836AF" w:rsidRDefault="00117609" w:rsidP="004836AF">
      <w:pPr>
        <w:spacing w:before="240" w:after="240" w:line="360" w:lineRule="auto"/>
        <w:jc w:val="both"/>
        <w:rPr>
          <w:color w:val="231F20"/>
        </w:rPr>
      </w:pPr>
      <w:r w:rsidRPr="004836AF">
        <w:rPr>
          <w:b/>
          <w:color w:val="231F20"/>
        </w:rPr>
        <w:t xml:space="preserve"> Autoinjerto: </w:t>
      </w:r>
      <w:r w:rsidRPr="004836AF">
        <w:rPr>
          <w:color w:val="231F20"/>
        </w:rPr>
        <w:t>El  autoinjerto implica la extracci</w:t>
      </w:r>
      <w:r w:rsidR="00047F44">
        <w:rPr>
          <w:color w:val="231F20"/>
        </w:rPr>
        <w:t>ó</w:t>
      </w:r>
      <w:r w:rsidRPr="004836AF">
        <w:rPr>
          <w:color w:val="231F20"/>
        </w:rPr>
        <w:t>n  de un tejido y colocación en otro lugar en el  mismo individuo. Las zonas más comunes de las que se puede extraer hueso autólogo  incluyen sitios extra</w:t>
      </w:r>
      <w:r w:rsidR="00047F44">
        <w:rPr>
          <w:color w:val="231F20"/>
        </w:rPr>
        <w:t xml:space="preserve"> </w:t>
      </w:r>
      <w:r w:rsidRPr="004836AF">
        <w:rPr>
          <w:color w:val="231F20"/>
        </w:rPr>
        <w:t xml:space="preserve">orales como la cresta ilíaca o la meseta tibial. Las regiones </w:t>
      </w:r>
      <w:proofErr w:type="spellStart"/>
      <w:r w:rsidRPr="004836AF">
        <w:rPr>
          <w:color w:val="231F20"/>
        </w:rPr>
        <w:t>intra</w:t>
      </w:r>
      <w:proofErr w:type="spellEnd"/>
      <w:r w:rsidR="00047F44">
        <w:rPr>
          <w:color w:val="231F20"/>
        </w:rPr>
        <w:t xml:space="preserve"> </w:t>
      </w:r>
      <w:r w:rsidRPr="004836AF">
        <w:rPr>
          <w:color w:val="231F20"/>
        </w:rPr>
        <w:t xml:space="preserve">orales más utilizadas  son  la sínfisis mandibular, tuberosidad maxilar, rama mandibular, </w:t>
      </w:r>
      <w:proofErr w:type="spellStart"/>
      <w:r w:rsidRPr="004836AF">
        <w:rPr>
          <w:color w:val="231F20"/>
        </w:rPr>
        <w:t>torus</w:t>
      </w:r>
      <w:proofErr w:type="spellEnd"/>
      <w:r w:rsidRPr="004836AF">
        <w:rPr>
          <w:color w:val="231F20"/>
        </w:rPr>
        <w:t xml:space="preserve"> o las exostosis. El hueso autólogo se puede tomar </w:t>
      </w:r>
      <w:r w:rsidRPr="004836AF">
        <w:rPr>
          <w:color w:val="231F20"/>
        </w:rPr>
        <w:lastRenderedPageBreak/>
        <w:t>como  un  bloque o part</w:t>
      </w:r>
      <w:r w:rsidR="00047F44">
        <w:rPr>
          <w:color w:val="231F20"/>
        </w:rPr>
        <w:t>i</w:t>
      </w:r>
      <w:r w:rsidRPr="004836AF">
        <w:rPr>
          <w:color w:val="231F20"/>
        </w:rPr>
        <w:t xml:space="preserve">culado. El mismo puede ser trabecular (esponjoso), cortical o </w:t>
      </w:r>
      <w:proofErr w:type="spellStart"/>
      <w:r w:rsidRPr="004836AF">
        <w:rPr>
          <w:color w:val="231F20"/>
        </w:rPr>
        <w:t>c</w:t>
      </w:r>
      <w:r w:rsidR="00B0493C">
        <w:rPr>
          <w:color w:val="231F20"/>
        </w:rPr>
        <w:t>ó</w:t>
      </w:r>
      <w:r w:rsidRPr="004836AF">
        <w:rPr>
          <w:color w:val="231F20"/>
        </w:rPr>
        <w:t>rticotrabecular</w:t>
      </w:r>
      <w:proofErr w:type="spellEnd"/>
      <w:r w:rsidRPr="004836AF">
        <w:rPr>
          <w:color w:val="231F20"/>
        </w:rPr>
        <w:t xml:space="preserve">. El hueso esponjoso tiene más potencial </w:t>
      </w:r>
      <w:proofErr w:type="spellStart"/>
      <w:r w:rsidRPr="004836AF">
        <w:rPr>
          <w:color w:val="231F20"/>
        </w:rPr>
        <w:t>osteogénico</w:t>
      </w:r>
      <w:proofErr w:type="spellEnd"/>
      <w:r w:rsidRPr="004836AF">
        <w:rPr>
          <w:color w:val="231F20"/>
        </w:rPr>
        <w:t xml:space="preserve"> que el hueso cortical debido a la presencia de médula hematopoyética y una mayor cantidad de células </w:t>
      </w:r>
      <w:proofErr w:type="spellStart"/>
      <w:r w:rsidRPr="004836AF">
        <w:rPr>
          <w:color w:val="231F20"/>
        </w:rPr>
        <w:t>pluripotenciales</w:t>
      </w:r>
      <w:proofErr w:type="spellEnd"/>
      <w:r w:rsidRPr="004836AF">
        <w:rPr>
          <w:color w:val="231F20"/>
        </w:rPr>
        <w:t xml:space="preserve">. .El volumen óseo que puede recolectarse de fuentes </w:t>
      </w:r>
      <w:proofErr w:type="spellStart"/>
      <w:r w:rsidRPr="004836AF">
        <w:rPr>
          <w:color w:val="231F20"/>
        </w:rPr>
        <w:t>intraorales</w:t>
      </w:r>
      <w:proofErr w:type="spellEnd"/>
      <w:r w:rsidRPr="004836AF">
        <w:rPr>
          <w:color w:val="231F20"/>
        </w:rPr>
        <w:t xml:space="preserve"> es el siguiente: hasta 5-10 ml de la rama ascendente, hasta 5 ml de la zona anterior de la mandíbula, hasta 2 ml de la tuberosidad y cantidades variables de virutas o exostosis óseas o mediante el uso de trampas de succión </w:t>
      </w:r>
      <w:r w:rsidR="00B0493C">
        <w:rPr>
          <w:color w:val="231F20"/>
        </w:rPr>
        <w:fldChar w:fldCharType="begin" w:fldLock="1"/>
      </w:r>
      <w:r w:rsidR="00B0493C">
        <w:rPr>
          <w:color w:val="231F20"/>
        </w:rPr>
        <w:instrText>ADDIN CSL_CITATION {"citationItems":[{"id":"ITEM-1","itemData":{"DOI":"10.2174/1874210601408010056","ISSN":"1874-2106","PMID":"24894890","abstract":"Post-extraction crestal bone resorption is common and unavoidable which can lead to significant ridge dimensional changes. To regenerate enough bone for successful implant placement, Guided Bone Regeneration (GBR) is often required. GBR is a surgical procedure that uses barrier membranes with or without particulate bone grafts or/and bone substitutes. There are two approaches of GBR in implant therapy: GBR at implant placement (simultaneous approach) and GBR before implant placement to increase the alveolar ridge or improve ridge morphology (staged approach). Angiogenesis and ample blood supply play a critical role in promoting bone regeneration.","author":[{"dropping-particle":"","family":"Liu","given":"Jie","non-dropping-particle":"","parse-names":false,"suffix":""},{"dropping-particle":"","family":"Kerns","given":"David G","non-dropping-particle":"","parse-names":false,"suffix":""}],"container-title":"The Open Dentistry Journal","id":"ITEM-1","issue":"1","issued":{"date-parts":[["2014"]]},"page":"56-65","title":"Mechanisms of Guided Bone Regeneration: A Review","type":"article-journal","volume":"8"},"uris":["http://www.mendeley.com/documents/?uuid=bc298ad6-88d1-4147-9e27-b46c7b134941"]}],"mendeley":{"formattedCitation":"(25)","plainTextFormattedCitation":"(25)","previouslyFormattedCitation":"(25)"},"properties":{"noteIndex":0},"schema":"https://github.com/citation-style-language/schema/raw/master/csl-citation.json"}</w:instrText>
      </w:r>
      <w:r w:rsidR="00B0493C">
        <w:rPr>
          <w:color w:val="231F20"/>
        </w:rPr>
        <w:fldChar w:fldCharType="separate"/>
      </w:r>
      <w:r w:rsidR="00B0493C" w:rsidRPr="00B0493C">
        <w:rPr>
          <w:noProof/>
          <w:color w:val="231F20"/>
        </w:rPr>
        <w:t>(25)</w:t>
      </w:r>
      <w:r w:rsidR="00B0493C">
        <w:rPr>
          <w:color w:val="231F20"/>
        </w:rPr>
        <w:fldChar w:fldCharType="end"/>
      </w:r>
      <w:r w:rsidRPr="004836AF">
        <w:rPr>
          <w:color w:val="231F20"/>
        </w:rPr>
        <w:t xml:space="preserve">. El hueso autólogo es altamente </w:t>
      </w:r>
      <w:proofErr w:type="spellStart"/>
      <w:r w:rsidRPr="004836AF">
        <w:rPr>
          <w:color w:val="231F20"/>
        </w:rPr>
        <w:t>osteogénico</w:t>
      </w:r>
      <w:proofErr w:type="spellEnd"/>
      <w:r w:rsidRPr="004836AF">
        <w:rPr>
          <w:color w:val="231F20"/>
        </w:rPr>
        <w:t xml:space="preserve"> se  considera el pa</w:t>
      </w:r>
      <w:r w:rsidR="00047F44">
        <w:rPr>
          <w:color w:val="231F20"/>
        </w:rPr>
        <w:t>trón de referencia</w:t>
      </w:r>
      <w:r w:rsidRPr="004836AF">
        <w:rPr>
          <w:color w:val="231F20"/>
        </w:rPr>
        <w:t xml:space="preserve"> de los materiales de injerto. Proporciona proteínas, minerales y células óseas vitales al sitio receptor, lo que mejora el éxito general del procedimiento de injerto,  resultando en altas tasas de éxito. Sin embargo, su recolección tiene desventajas: 1) la necesidad de hacer la toma de un sitio quirúrgico secundario y la posible morbilidad resultante, siendo menor esta última cuando se compara la toma de sitios </w:t>
      </w:r>
      <w:proofErr w:type="spellStart"/>
      <w:r w:rsidRPr="004836AF">
        <w:rPr>
          <w:color w:val="231F20"/>
        </w:rPr>
        <w:t>intra</w:t>
      </w:r>
      <w:proofErr w:type="spellEnd"/>
      <w:r w:rsidR="00047F44">
        <w:rPr>
          <w:color w:val="231F20"/>
        </w:rPr>
        <w:t xml:space="preserve"> </w:t>
      </w:r>
      <w:r w:rsidRPr="004836AF">
        <w:rPr>
          <w:color w:val="231F20"/>
        </w:rPr>
        <w:t>orales con extra</w:t>
      </w:r>
      <w:r w:rsidR="00047F44">
        <w:rPr>
          <w:color w:val="231F20"/>
        </w:rPr>
        <w:t xml:space="preserve"> </w:t>
      </w:r>
      <w:r w:rsidRPr="004836AF">
        <w:rPr>
          <w:color w:val="231F20"/>
        </w:rPr>
        <w:t xml:space="preserve">orales. 2) la dificultad de obtener una cantidad suficiente de material de injerto, especialmente de sitios </w:t>
      </w:r>
      <w:proofErr w:type="spellStart"/>
      <w:r w:rsidRPr="004836AF">
        <w:rPr>
          <w:color w:val="231F20"/>
        </w:rPr>
        <w:t>intra</w:t>
      </w:r>
      <w:proofErr w:type="spellEnd"/>
      <w:r w:rsidR="00047F44">
        <w:rPr>
          <w:color w:val="231F20"/>
        </w:rPr>
        <w:t xml:space="preserve"> </w:t>
      </w:r>
      <w:r w:rsidRPr="004836AF">
        <w:rPr>
          <w:color w:val="231F20"/>
        </w:rPr>
        <w:t xml:space="preserve">orales. Estas limitaciones llevaron al desarrollo de xenoinjertos, aloinjertos e injertos </w:t>
      </w:r>
      <w:proofErr w:type="spellStart"/>
      <w:r w:rsidRPr="004836AF">
        <w:rPr>
          <w:color w:val="231F20"/>
        </w:rPr>
        <w:t>aloplásticos</w:t>
      </w:r>
      <w:proofErr w:type="spellEnd"/>
      <w:r w:rsidRPr="004836AF">
        <w:rPr>
          <w:color w:val="231F20"/>
        </w:rPr>
        <w:t xml:space="preserve"> como materiales  alternativos</w:t>
      </w:r>
      <w:r w:rsidR="00B0493C">
        <w:rPr>
          <w:color w:val="231F20"/>
        </w:rPr>
        <w:t xml:space="preserve"> </w:t>
      </w:r>
      <w:r w:rsidR="00B0493C">
        <w:rPr>
          <w:color w:val="231F20"/>
        </w:rPr>
        <w:fldChar w:fldCharType="begin" w:fldLock="1"/>
      </w:r>
      <w:r w:rsidR="00D57174">
        <w:rPr>
          <w:color w:val="231F20"/>
        </w:rPr>
        <w:instrText>ADDIN CSL_CITATION {"citationItems":[{"id":"ITEM-1","itemData":{"DOI":"10.2174/1874210601408010056","ISSN":"1874-2106","PMID":"24894890","abstract":"Post-extraction crestal bone resorption is common and unavoidable which can lead to significant ridge dimensional changes. To regenerate enough bone for successful implant placement, Guided Bone Regeneration (GBR) is often required. GBR is a surgical procedure that uses barrier membranes with or without particulate bone grafts or/and bone substitutes. There are two approaches of GBR in implant therapy: GBR at implant placement (simultaneous approach) and GBR before implant placement to increase the alveolar ridge or improve ridge morphology (staged approach). Angiogenesis and ample blood supply play a critical role in promoting bone regeneration.","author":[{"dropping-particle":"","family":"Liu","given":"Jie","non-dropping-particle":"","parse-names":false,"suffix":""},{"dropping-particle":"","family":"Kerns","given":"David G","non-dropping-particle":"","parse-names":false,"suffix":""}],"container-title":"The Open Dentistry Journal","id":"ITEM-1","issue":"1","issued":{"date-parts":[["2014"]]},"page":"56-65","title":"Mechanisms of Guided Bone Regeneration: A Review","type":"article-journal","volume":"8"},"uris":["http://www.mendeley.com/documents/?uuid=bc298ad6-88d1-4147-9e27-b46c7b134941"]}],"mendeley":{"formattedCitation":"(25)","plainTextFormattedCitation":"(25)","previouslyFormattedCitation":"(25)"},"properties":{"noteIndex":0},"schema":"https://github.com/citation-style-language/schema/raw/master/csl-citation.json"}</w:instrText>
      </w:r>
      <w:r w:rsidR="00B0493C">
        <w:rPr>
          <w:color w:val="231F20"/>
        </w:rPr>
        <w:fldChar w:fldCharType="separate"/>
      </w:r>
      <w:r w:rsidR="00B0493C" w:rsidRPr="00B0493C">
        <w:rPr>
          <w:noProof/>
          <w:color w:val="231F20"/>
        </w:rPr>
        <w:t>(25)</w:t>
      </w:r>
      <w:r w:rsidR="00B0493C">
        <w:rPr>
          <w:color w:val="231F20"/>
        </w:rPr>
        <w:fldChar w:fldCharType="end"/>
      </w:r>
      <w:r w:rsidRPr="004836AF">
        <w:rPr>
          <w:color w:val="231F20"/>
        </w:rPr>
        <w:t>.</w:t>
      </w:r>
    </w:p>
    <w:p w14:paraId="34FB32AF" w14:textId="43521F6B" w:rsidR="005E334C" w:rsidRPr="004836AF" w:rsidRDefault="00117609" w:rsidP="004836AF">
      <w:pPr>
        <w:spacing w:before="240" w:after="240" w:line="360" w:lineRule="auto"/>
        <w:jc w:val="both"/>
        <w:rPr>
          <w:color w:val="231F20"/>
        </w:rPr>
      </w:pPr>
      <w:r w:rsidRPr="004836AF">
        <w:rPr>
          <w:b/>
          <w:color w:val="231F20"/>
        </w:rPr>
        <w:t xml:space="preserve">Xenoinjerto: </w:t>
      </w:r>
      <w:r w:rsidRPr="004836AF">
        <w:rPr>
          <w:color w:val="231F20"/>
        </w:rPr>
        <w:t xml:space="preserve">Los xenoinjertos son obtenidos de una especie distinta de la especie huésped. Estos materiales de relleno son </w:t>
      </w:r>
      <w:proofErr w:type="spellStart"/>
      <w:r w:rsidRPr="004836AF">
        <w:rPr>
          <w:color w:val="231F20"/>
        </w:rPr>
        <w:t>osteoconductores</w:t>
      </w:r>
      <w:proofErr w:type="spellEnd"/>
      <w:r w:rsidRPr="004836AF">
        <w:rPr>
          <w:color w:val="231F20"/>
        </w:rPr>
        <w:t xml:space="preserve"> inertes, que sirven de andamio para la formación de hueso nuevo. Los materiales representativos de xenoinjerto son </w:t>
      </w:r>
      <w:proofErr w:type="spellStart"/>
      <w:r w:rsidRPr="004836AF">
        <w:rPr>
          <w:color w:val="231F20"/>
        </w:rPr>
        <w:t>hidroxiapatita</w:t>
      </w:r>
      <w:proofErr w:type="spellEnd"/>
      <w:r w:rsidRPr="004836AF">
        <w:rPr>
          <w:color w:val="231F20"/>
        </w:rPr>
        <w:t xml:space="preserve"> natural (HA) y el mineral de hueso bovino </w:t>
      </w:r>
      <w:proofErr w:type="spellStart"/>
      <w:r w:rsidRPr="004836AF">
        <w:rPr>
          <w:color w:val="231F20"/>
        </w:rPr>
        <w:t>desproteinizado</w:t>
      </w:r>
      <w:proofErr w:type="spellEnd"/>
      <w:r w:rsidRPr="004836AF">
        <w:rPr>
          <w:color w:val="231F20"/>
        </w:rPr>
        <w:t xml:space="preserve"> (MHBD). La </w:t>
      </w:r>
      <w:proofErr w:type="spellStart"/>
      <w:r w:rsidRPr="004836AF">
        <w:rPr>
          <w:color w:val="231F20"/>
        </w:rPr>
        <w:t>hidroxiapatita</w:t>
      </w:r>
      <w:proofErr w:type="spellEnd"/>
      <w:r w:rsidRPr="004836AF">
        <w:rPr>
          <w:color w:val="231F20"/>
        </w:rPr>
        <w:t xml:space="preserve"> natural se extrae de huesos animales. Tiene la microestructura tridimensional del hueso natural y es altamente </w:t>
      </w:r>
      <w:proofErr w:type="spellStart"/>
      <w:r w:rsidRPr="004836AF">
        <w:rPr>
          <w:color w:val="231F20"/>
        </w:rPr>
        <w:t>biocompatible</w:t>
      </w:r>
      <w:proofErr w:type="spellEnd"/>
      <w:r w:rsidRPr="004836AF">
        <w:rPr>
          <w:color w:val="231F20"/>
        </w:rPr>
        <w:t xml:space="preserve"> con los tejidos duros y blandos adyacentes. El MHBD es un hueso inorgánico de origen bovino. Es un carbonato que contiene apatita con una arquitectura cristalina y una relación calcio / fosfato similar a la del mineral óseo natural en humanos.</w:t>
      </w:r>
      <w:r w:rsidR="00D57174">
        <w:rPr>
          <w:color w:val="231F20"/>
        </w:rPr>
        <w:t xml:space="preserve"> </w:t>
      </w:r>
      <w:r w:rsidRPr="004836AF">
        <w:rPr>
          <w:color w:val="231F20"/>
        </w:rPr>
        <w:t xml:space="preserve">Tiene la estructura </w:t>
      </w:r>
      <w:proofErr w:type="spellStart"/>
      <w:r w:rsidRPr="004836AF">
        <w:rPr>
          <w:color w:val="231F20"/>
        </w:rPr>
        <w:t>microporosa</w:t>
      </w:r>
      <w:proofErr w:type="spellEnd"/>
      <w:r w:rsidRPr="004836AF">
        <w:rPr>
          <w:color w:val="231F20"/>
        </w:rPr>
        <w:t xml:space="preserve"> y </w:t>
      </w:r>
      <w:proofErr w:type="spellStart"/>
      <w:r w:rsidRPr="004836AF">
        <w:rPr>
          <w:color w:val="231F20"/>
        </w:rPr>
        <w:t>macroporosa</w:t>
      </w:r>
      <w:proofErr w:type="spellEnd"/>
      <w:r w:rsidRPr="004836AF">
        <w:rPr>
          <w:color w:val="231F20"/>
        </w:rPr>
        <w:t xml:space="preserve"> del hueso esponjoso y cortical  que  se mantiene después de la extracción química  a baja temperatura del componente orgánico. En el pasado, los xenoinjertos bovinos </w:t>
      </w:r>
      <w:r w:rsidR="00D57174">
        <w:rPr>
          <w:color w:val="231F20"/>
        </w:rPr>
        <w:t>fallaron</w:t>
      </w:r>
      <w:r w:rsidRPr="004836AF">
        <w:rPr>
          <w:color w:val="231F20"/>
        </w:rPr>
        <w:t xml:space="preserve"> debido al rechazo del injerto, lo que probablemente era debido a las técnicas de extracción con detergentes químicos que dejaron proteínas residuales y, por lo tanto, podían producir reacciones adversas.  A medida que pasa el tiempo, el material  se integra al hueso humano y es reemplazado  lentamente por hueso neo formado. Las biopsias humanas después del aumento de seno confirman que aún se pueden encontrar partículas de sustitutos óseos derivados de bovinos hasta 10 años después de la cirugía. Los xenoinjertos de origen bovino conllevan riesgo teórico de transmisión de enfermedades. Los datos existentes indican un riesgo mínimo de </w:t>
      </w:r>
      <w:r w:rsidRPr="004836AF">
        <w:rPr>
          <w:color w:val="231F20"/>
        </w:rPr>
        <w:lastRenderedPageBreak/>
        <w:t xml:space="preserve">encefalopatía espongiforme bovina. Una ventaja de estos materiales de injerto es el mayor potencial </w:t>
      </w:r>
      <w:proofErr w:type="spellStart"/>
      <w:r w:rsidRPr="004836AF">
        <w:rPr>
          <w:color w:val="231F20"/>
        </w:rPr>
        <w:t>osteoconductor</w:t>
      </w:r>
      <w:proofErr w:type="spellEnd"/>
      <w:r w:rsidRPr="004836AF">
        <w:rPr>
          <w:color w:val="231F20"/>
        </w:rPr>
        <w:t xml:space="preserve"> en comparación con los materiales derivados sintéticos. </w:t>
      </w:r>
      <w:r w:rsidR="00D57174">
        <w:rPr>
          <w:color w:val="231F20"/>
        </w:rPr>
        <w:fldChar w:fldCharType="begin" w:fldLock="1"/>
      </w:r>
      <w:r w:rsidR="00D57174">
        <w:rPr>
          <w:color w:val="231F20"/>
        </w:rPr>
        <w:instrText>ADDIN CSL_CITATION {"citationItems":[{"id":"ITEM-1","itemData":{"DOI":"10.2174/1874210601408010056","ISSN":"1874-2106","PMID":"24894890","abstract":"Post-extraction crestal bone resorption is common and unavoidable which can lead to significant ridge dimensional changes. To regenerate enough bone for successful implant placement, Guided Bone Regeneration (GBR) is often required. GBR is a surgical procedure that uses barrier membranes with or without particulate bone grafts or/and bone substitutes. There are two approaches of GBR in implant therapy: GBR at implant placement (simultaneous approach) and GBR before implant placement to increase the alveolar ridge or improve ridge morphology (staged approach). Angiogenesis and ample blood supply play a critical role in promoting bone regeneration.","author":[{"dropping-particle":"","family":"Liu","given":"Jie","non-dropping-particle":"","parse-names":false,"suffix":""},{"dropping-particle":"","family":"Kerns","given":"David G","non-dropping-particle":"","parse-names":false,"suffix":""}],"container-title":"The Open Dentistry Journal","id":"ITEM-1","issue":"1","issued":{"date-parts":[["2014"]]},"page":"56-65","title":"Mechanisms of Guided Bone Regeneration: A Review","type":"article-journal","volume":"8"},"uris":["http://www.mendeley.com/documents/?uuid=bc298ad6-88d1-4147-9e27-b46c7b134941"]}],"mendeley":{"formattedCitation":"(25)","plainTextFormattedCitation":"(25)","previouslyFormattedCitation":"(25)"},"properties":{"noteIndex":0},"schema":"https://github.com/citation-style-language/schema/raw/master/csl-citation.json"}</w:instrText>
      </w:r>
      <w:r w:rsidR="00D57174">
        <w:rPr>
          <w:color w:val="231F20"/>
        </w:rPr>
        <w:fldChar w:fldCharType="separate"/>
      </w:r>
      <w:r w:rsidR="00D57174" w:rsidRPr="00D57174">
        <w:rPr>
          <w:noProof/>
          <w:color w:val="231F20"/>
        </w:rPr>
        <w:t>(25)</w:t>
      </w:r>
      <w:r w:rsidR="00D57174">
        <w:rPr>
          <w:color w:val="231F20"/>
        </w:rPr>
        <w:fldChar w:fldCharType="end"/>
      </w:r>
      <w:r w:rsidR="00D57174">
        <w:rPr>
          <w:color w:val="231F20"/>
        </w:rPr>
        <w:fldChar w:fldCharType="begin" w:fldLock="1"/>
      </w:r>
      <w:r w:rsidR="00D57174">
        <w:rPr>
          <w:color w:val="231F20"/>
        </w:rPr>
        <w:instrText>ADDIN CSL_CITATION {"citationItems":[{"id":"ITEM-1","itemData":{"DOI":"10.3390/ma8062953","ISSN":"19961944","abstract":"© 2015 by the authors. Alveolar bone augmentation in vertical dimension remains the holy grail of periodontal tissue engineering. Successful dental implant placement for restoration of edentulous sites depends on the quality and quantity of alveolar bone available in all spatial dimensions. There are several surgical techniques used alone or in combination with natural or synthetic graft materials to achieve vertical alveolar bone augmentation. While continuously improving surgical techniques combined with the use of auto- or allografts provide the most predictable clinical outcomes, their success often depends on the status of recipient tissues. The morbidity associated with donor sites for auto-grafts makes these techniques less appealing to both patients and clinicians. New developments in material sciences offer a range of synthetic replacements for natural grafts to address theshortcoming of a second surgical site and relatively high resorption rates. This narrative review focuses on existing techniques, natural tissues and synthetic biomaterials commonly used to achieve vertical bone height gain in order to successfully restore edentulous ridges with implant-supported prostheses.","author":[{"dropping-particle":"","family":"Sheikh","given":"Zeeshan","non-dropping-particle":"","parse-names":false,"suffix":""},{"dropping-particle":"","family":"Sima","given":"Corneliu","non-dropping-particle":"","parse-names":false,"suffix":""},{"dropping-particle":"","family":"Glogauer","given":"Michael","non-dropping-particle":"","parse-names":false,"suffix":""}],"container-title":"Materials","id":"ITEM-1","issue":"6","issued":{"date-parts":[["2015"]]},"page":"2953-2993","publisher":"MDPI AG","title":"Bone replacement materials and techniques used for achieving vertical alveolar bone augmentation","type":"article-journal","volume":"8"},"uris":["http://www.mendeley.com/documents/?uuid=546f8a9c-8efd-33b3-8bde-eaa0efb3b2b0"]}],"mendeley":{"formattedCitation":"(24)","plainTextFormattedCitation":"(24)","previouslyFormattedCitation":"(24)"},"properties":{"noteIndex":0},"schema":"https://github.com/citation-style-language/schema/raw/master/csl-citation.json"}</w:instrText>
      </w:r>
      <w:r w:rsidR="00D57174">
        <w:rPr>
          <w:color w:val="231F20"/>
        </w:rPr>
        <w:fldChar w:fldCharType="separate"/>
      </w:r>
      <w:r w:rsidR="00D57174" w:rsidRPr="00D57174">
        <w:rPr>
          <w:noProof/>
          <w:color w:val="231F20"/>
        </w:rPr>
        <w:t>(24)</w:t>
      </w:r>
      <w:r w:rsidR="00D57174">
        <w:rPr>
          <w:color w:val="231F20"/>
        </w:rPr>
        <w:fldChar w:fldCharType="end"/>
      </w:r>
    </w:p>
    <w:p w14:paraId="23D42CDB" w14:textId="65B9882A" w:rsidR="005E334C" w:rsidRPr="004836AF" w:rsidRDefault="00117609" w:rsidP="004836AF">
      <w:pPr>
        <w:spacing w:before="240" w:after="240" w:line="360" w:lineRule="auto"/>
        <w:jc w:val="both"/>
        <w:rPr>
          <w:color w:val="231F20"/>
        </w:rPr>
      </w:pPr>
      <w:r w:rsidRPr="004836AF">
        <w:rPr>
          <w:b/>
          <w:color w:val="231F20"/>
        </w:rPr>
        <w:t xml:space="preserve"> Aloinjertos: </w:t>
      </w:r>
      <w:r w:rsidRPr="004836AF">
        <w:rPr>
          <w:color w:val="231F20"/>
        </w:rPr>
        <w:t>Los aloinjertos se obtienen  de miembros genéticamente no idénticos de la misma especie. Tienen un gran ventaja frente al autoinjerto, ya que la disponibilidad en grandes cantidades no es un problema,  elimina los inconvenientes asociados con un segundo sitio quirúrgico. Aunque los aloinjertos se someten a múltiples tratamientos antes de su uso, el riesgo de transmisión de enfermedades sigue siendo una posibilidad. Sin embargo, estos riesgos son muy bajos y ampliamente superados por las ventajas asociadas. Las partículas de los aloinjertos son de diferentes tamaños y orígenes (cortical, esponjoso o ambos). Se preparan principalmente como frescos, congelados, liofilizados, mineralizados y desmineralizados, y cada uno de estos están disponibles como chips corticales, gránulos corticales, cuñas corticales o injertos de polvo esponjoso</w:t>
      </w:r>
      <w:r w:rsidR="00D57174">
        <w:rPr>
          <w:color w:val="231F20"/>
        </w:rPr>
        <w:t xml:space="preserve"> </w:t>
      </w:r>
      <w:r w:rsidR="00D57174">
        <w:rPr>
          <w:color w:val="231F20"/>
        </w:rPr>
        <w:fldChar w:fldCharType="begin" w:fldLock="1"/>
      </w:r>
      <w:r w:rsidR="00D57174">
        <w:rPr>
          <w:color w:val="231F20"/>
        </w:rPr>
        <w:instrText>ADDIN CSL_CITATION {"citationItems":[{"id":"ITEM-1","itemData":{"DOI":"10.3390/ma8062953","ISSN":"19961944","abstract":"© 2015 by the authors. Alveolar bone augmentation in vertical dimension remains the holy grail of periodontal tissue engineering. Successful dental implant placement for restoration of edentulous sites depends on the quality and quantity of alveolar bone available in all spatial dimensions. There are several surgical techniques used alone or in combination with natural or synthetic graft materials to achieve vertical alveolar bone augmentation. While continuously improving surgical techniques combined with the use of auto- or allografts provide the most predictable clinical outcomes, their success often depends on the status of recipient tissues. The morbidity associated with donor sites for auto-grafts makes these techniques less appealing to both patients and clinicians. New developments in material sciences offer a range of synthetic replacements for natural grafts to address theshortcoming of a second surgical site and relatively high resorption rates. This narrative review focuses on existing techniques, natural tissues and synthetic biomaterials commonly used to achieve vertical bone height gain in order to successfully restore edentulous ridges with implant-supported prostheses.","author":[{"dropping-particle":"","family":"Sheikh","given":"Zeeshan","non-dropping-particle":"","parse-names":false,"suffix":""},{"dropping-particle":"","family":"Sima","given":"Corneliu","non-dropping-particle":"","parse-names":false,"suffix":""},{"dropping-particle":"","family":"Glogauer","given":"Michael","non-dropping-particle":"","parse-names":false,"suffix":""}],"container-title":"Materials","id":"ITEM-1","issue":"6","issued":{"date-parts":[["2015"]]},"page":"2953-2993","publisher":"MDPI AG","title":"Bone replacement materials and techniques used for achieving vertical alveolar bone augmentation","type":"article-journal","volume":"8"},"uris":["http://www.mendeley.com/documents/?uuid=546f8a9c-8efd-33b3-8bde-eaa0efb3b2b0"]}],"mendeley":{"formattedCitation":"(24)","plainTextFormattedCitation":"(24)","previouslyFormattedCitation":"(24)"},"properties":{"noteIndex":0},"schema":"https://github.com/citation-style-language/schema/raw/master/csl-citation.json"}</w:instrText>
      </w:r>
      <w:r w:rsidR="00D57174">
        <w:rPr>
          <w:color w:val="231F20"/>
        </w:rPr>
        <w:fldChar w:fldCharType="separate"/>
      </w:r>
      <w:r w:rsidR="00D57174" w:rsidRPr="00D57174">
        <w:rPr>
          <w:noProof/>
          <w:color w:val="231F20"/>
        </w:rPr>
        <w:t>(24)</w:t>
      </w:r>
      <w:r w:rsidR="00D57174">
        <w:rPr>
          <w:color w:val="231F20"/>
        </w:rPr>
        <w:fldChar w:fldCharType="end"/>
      </w:r>
      <w:r w:rsidRPr="004836AF">
        <w:rPr>
          <w:color w:val="231F20"/>
        </w:rPr>
        <w:t xml:space="preserve">. </w:t>
      </w:r>
    </w:p>
    <w:p w14:paraId="1DC999C3" w14:textId="26EAA8C5" w:rsidR="005E334C" w:rsidRPr="004836AF" w:rsidRDefault="00117609" w:rsidP="004836AF">
      <w:pPr>
        <w:spacing w:before="240" w:after="240" w:line="360" w:lineRule="auto"/>
        <w:jc w:val="both"/>
        <w:rPr>
          <w:color w:val="231F20"/>
        </w:rPr>
      </w:pPr>
      <w:proofErr w:type="spellStart"/>
      <w:r w:rsidRPr="004836AF">
        <w:rPr>
          <w:b/>
          <w:color w:val="231F20"/>
        </w:rPr>
        <w:t>Aloplásticos</w:t>
      </w:r>
      <w:proofErr w:type="spellEnd"/>
      <w:r w:rsidRPr="004836AF">
        <w:rPr>
          <w:b/>
          <w:color w:val="231F20"/>
        </w:rPr>
        <w:t xml:space="preserve">: </w:t>
      </w:r>
      <w:r w:rsidRPr="004836AF">
        <w:rPr>
          <w:color w:val="231F20"/>
        </w:rPr>
        <w:t xml:space="preserve">Los </w:t>
      </w:r>
      <w:proofErr w:type="spellStart"/>
      <w:r w:rsidRPr="004836AF">
        <w:rPr>
          <w:color w:val="231F20"/>
        </w:rPr>
        <w:t>aloplásticos</w:t>
      </w:r>
      <w:proofErr w:type="spellEnd"/>
      <w:r w:rsidRPr="004836AF">
        <w:rPr>
          <w:color w:val="231F20"/>
        </w:rPr>
        <w:t xml:space="preserve"> son materiales de injerto sintético</w:t>
      </w:r>
      <w:r w:rsidR="001767A0">
        <w:rPr>
          <w:color w:val="231F20"/>
        </w:rPr>
        <w:t>s</w:t>
      </w:r>
      <w:r w:rsidRPr="004836AF">
        <w:rPr>
          <w:color w:val="231F20"/>
        </w:rPr>
        <w:t xml:space="preserve">. Los  más utilizados son el carbonato de calcio, el sulfato de calcio, los polímeros de vidrio </w:t>
      </w:r>
      <w:proofErr w:type="spellStart"/>
      <w:r w:rsidRPr="004836AF">
        <w:rPr>
          <w:color w:val="231F20"/>
        </w:rPr>
        <w:t>bioactivos</w:t>
      </w:r>
      <w:proofErr w:type="spellEnd"/>
      <w:r w:rsidRPr="004836AF">
        <w:rPr>
          <w:color w:val="231F20"/>
        </w:rPr>
        <w:t xml:space="preserve"> y los materiales cerámicos, incluidos la </w:t>
      </w:r>
      <w:proofErr w:type="spellStart"/>
      <w:r w:rsidRPr="004836AF">
        <w:rPr>
          <w:color w:val="231F20"/>
        </w:rPr>
        <w:t>hidroxiapatita</w:t>
      </w:r>
      <w:proofErr w:type="spellEnd"/>
      <w:r w:rsidRPr="004836AF">
        <w:rPr>
          <w:color w:val="231F20"/>
        </w:rPr>
        <w:t xml:space="preserve"> sintética y el fosfato </w:t>
      </w:r>
      <w:proofErr w:type="spellStart"/>
      <w:r w:rsidRPr="004836AF">
        <w:rPr>
          <w:color w:val="231F20"/>
        </w:rPr>
        <w:t>tricálcico</w:t>
      </w:r>
      <w:proofErr w:type="spellEnd"/>
      <w:r w:rsidRPr="004836AF">
        <w:rPr>
          <w:color w:val="231F20"/>
        </w:rPr>
        <w:t xml:space="preserve">. El mecanismo de acción de estos materiales es estrictamente la </w:t>
      </w:r>
      <w:proofErr w:type="spellStart"/>
      <w:r w:rsidRPr="004836AF">
        <w:rPr>
          <w:color w:val="231F20"/>
        </w:rPr>
        <w:t>osteoconducción</w:t>
      </w:r>
      <w:proofErr w:type="spellEnd"/>
      <w:r w:rsidRPr="004836AF">
        <w:rPr>
          <w:color w:val="231F20"/>
        </w:rPr>
        <w:t xml:space="preserve">. Proporcionan un andamio para mejorar la reparación y el crecimiento del tejido óseo. Las principales ventajas de los materiales </w:t>
      </w:r>
      <w:proofErr w:type="spellStart"/>
      <w:r w:rsidRPr="004836AF">
        <w:rPr>
          <w:color w:val="231F20"/>
        </w:rPr>
        <w:t>aloplásticos</w:t>
      </w:r>
      <w:proofErr w:type="spellEnd"/>
      <w:r w:rsidRPr="004836AF">
        <w:rPr>
          <w:color w:val="231F20"/>
        </w:rPr>
        <w:t xml:space="preserve"> son: su alta disponibilidad en relación con los materiales naturales, no tener riesgo de transmisión de enfermedades y la muy baja </w:t>
      </w:r>
      <w:proofErr w:type="spellStart"/>
      <w:r w:rsidRPr="004836AF">
        <w:rPr>
          <w:color w:val="231F20"/>
        </w:rPr>
        <w:t>antigenicidad</w:t>
      </w:r>
      <w:proofErr w:type="spellEnd"/>
      <w:r w:rsidRPr="004836AF">
        <w:rPr>
          <w:color w:val="231F20"/>
        </w:rPr>
        <w:t xml:space="preserve">. Una característica que parece ser crítica para el éxito con el uso de los materiales </w:t>
      </w:r>
      <w:proofErr w:type="spellStart"/>
      <w:r w:rsidRPr="004836AF">
        <w:rPr>
          <w:color w:val="231F20"/>
        </w:rPr>
        <w:t>aloplásticos</w:t>
      </w:r>
      <w:proofErr w:type="spellEnd"/>
      <w:r w:rsidRPr="004836AF">
        <w:rPr>
          <w:color w:val="231F20"/>
        </w:rPr>
        <w:t xml:space="preserve"> es la estructura rugosa  y el gran tamaño de partícula, lo que demostró permitir un adecuado crecimiento óseo. </w:t>
      </w:r>
      <w:r w:rsidR="00D57174">
        <w:rPr>
          <w:color w:val="231F20"/>
        </w:rPr>
        <w:fldChar w:fldCharType="begin" w:fldLock="1"/>
      </w:r>
      <w:r w:rsidR="00D57174">
        <w:rPr>
          <w:color w:val="231F20"/>
        </w:rPr>
        <w:instrText>ADDIN CSL_CITATION {"citationItems":[{"id":"ITEM-1","itemData":{"DOI":"10.2174/1874210601408010056","ISSN":"1874-2106","PMID":"24894890","abstract":"Post-extraction crestal bone resorption is common and unavoidable which can lead to significant ridge dimensional changes. To regenerate enough bone for successful implant placement, Guided Bone Regeneration (GBR) is often required. GBR is a surgical procedure that uses barrier membranes with or without particulate bone grafts or/and bone substitutes. There are two approaches of GBR in implant therapy: GBR at implant placement (simultaneous approach) and GBR before implant placement to increase the alveolar ridge or improve ridge morphology (staged approach). Angiogenesis and ample blood supply play a critical role in promoting bone regeneration.","author":[{"dropping-particle":"","family":"Liu","given":"Jie","non-dropping-particle":"","parse-names":false,"suffix":""},{"dropping-particle":"","family":"Kerns","given":"David G","non-dropping-particle":"","parse-names":false,"suffix":""}],"container-title":"The Open Dentistry Journal","id":"ITEM-1","issue":"1","issued":{"date-parts":[["2014"]]},"page":"56-65","title":"Mechanisms of Guided Bone Regeneration: A Review","type":"article-journal","volume":"8"},"uris":["http://www.mendeley.com/documents/?uuid=bc298ad6-88d1-4147-9e27-b46c7b134941"]}],"mendeley":{"formattedCitation":"(25)","plainTextFormattedCitation":"(25)","previouslyFormattedCitation":"(25)"},"properties":{"noteIndex":0},"schema":"https://github.com/citation-style-language/schema/raw/master/csl-citation.json"}</w:instrText>
      </w:r>
      <w:r w:rsidR="00D57174">
        <w:rPr>
          <w:color w:val="231F20"/>
        </w:rPr>
        <w:fldChar w:fldCharType="separate"/>
      </w:r>
      <w:r w:rsidR="00D57174" w:rsidRPr="00D57174">
        <w:rPr>
          <w:noProof/>
          <w:color w:val="231F20"/>
        </w:rPr>
        <w:t>(25)</w:t>
      </w:r>
      <w:r w:rsidR="00D57174">
        <w:rPr>
          <w:color w:val="231F20"/>
        </w:rPr>
        <w:fldChar w:fldCharType="end"/>
      </w:r>
      <w:r w:rsidR="00D57174">
        <w:rPr>
          <w:color w:val="231F20"/>
        </w:rPr>
        <w:fldChar w:fldCharType="begin" w:fldLock="1"/>
      </w:r>
      <w:r w:rsidR="00D57174">
        <w:rPr>
          <w:color w:val="231F20"/>
        </w:rPr>
        <w:instrText>ADDIN CSL_CITATION {"citationItems":[{"id":"ITEM-1","itemData":{"DOI":"10.3390/ma8062953","ISSN":"19961944","abstract":"© 2015 by the authors. Alveolar bone augmentation in vertical dimension remains the holy grail of periodontal tissue engineering. Successful dental implant placement for restoration of edentulous sites depends on the quality and quantity of alveolar bone available in all spatial dimensions. There are several surgical techniques used alone or in combination with natural or synthetic graft materials to achieve vertical alveolar bone augmentation. While continuously improving surgical techniques combined with the use of auto- or allografts provide the most predictable clinical outcomes, their success often depends on the status of recipient tissues. The morbidity associated with donor sites for auto-grafts makes these techniques less appealing to both patients and clinicians. New developments in material sciences offer a range of synthetic replacements for natural grafts to address theshortcoming of a second surgical site and relatively high resorption rates. This narrative review focuses on existing techniques, natural tissues and synthetic biomaterials commonly used to achieve vertical bone height gain in order to successfully restore edentulous ridges with implant-supported prostheses.","author":[{"dropping-particle":"","family":"Sheikh","given":"Zeeshan","non-dropping-particle":"","parse-names":false,"suffix":""},{"dropping-particle":"","family":"Sima","given":"Corneliu","non-dropping-particle":"","parse-names":false,"suffix":""},{"dropping-particle":"","family":"Glogauer","given":"Michael","non-dropping-particle":"","parse-names":false,"suffix":""}],"container-title":"Materials","id":"ITEM-1","issue":"6","issued":{"date-parts":[["2015"]]},"page":"2953-2993","publisher":"MDPI AG","title":"Bone replacement materials and techniques used for achieving vertical alveolar bone augmentation","type":"article-journal","volume":"8"},"uris":["http://www.mendeley.com/documents/?uuid=546f8a9c-8efd-33b3-8bde-eaa0efb3b2b0"]}],"mendeley":{"formattedCitation":"(24)","plainTextFormattedCitation":"(24)","previouslyFormattedCitation":"(24)"},"properties":{"noteIndex":0},"schema":"https://github.com/citation-style-language/schema/raw/master/csl-citation.json"}</w:instrText>
      </w:r>
      <w:r w:rsidR="00D57174">
        <w:rPr>
          <w:color w:val="231F20"/>
        </w:rPr>
        <w:fldChar w:fldCharType="separate"/>
      </w:r>
      <w:r w:rsidR="00D57174" w:rsidRPr="00D57174">
        <w:rPr>
          <w:noProof/>
          <w:color w:val="231F20"/>
        </w:rPr>
        <w:t>(24)</w:t>
      </w:r>
      <w:r w:rsidR="00D57174">
        <w:rPr>
          <w:color w:val="231F20"/>
        </w:rPr>
        <w:fldChar w:fldCharType="end"/>
      </w:r>
      <w:r w:rsidRPr="004836AF">
        <w:rPr>
          <w:color w:val="231F20"/>
        </w:rPr>
        <w:t xml:space="preserve"> </w:t>
      </w:r>
    </w:p>
    <w:p w14:paraId="5A1C9D43" w14:textId="77777777" w:rsidR="005E334C" w:rsidRPr="001767A0" w:rsidRDefault="00117609" w:rsidP="004836AF">
      <w:pPr>
        <w:spacing w:before="240" w:after="240" w:line="360" w:lineRule="auto"/>
        <w:jc w:val="both"/>
        <w:rPr>
          <w:b/>
          <w:color w:val="231F20"/>
          <w:sz w:val="24"/>
          <w:szCs w:val="24"/>
        </w:rPr>
      </w:pPr>
      <w:r w:rsidRPr="001767A0">
        <w:rPr>
          <w:b/>
          <w:color w:val="231F20"/>
          <w:sz w:val="24"/>
          <w:szCs w:val="24"/>
        </w:rPr>
        <w:t>3.3 Membranas</w:t>
      </w:r>
    </w:p>
    <w:p w14:paraId="16CA01DD" w14:textId="2BF26A98" w:rsidR="005E334C" w:rsidRPr="004836AF" w:rsidRDefault="00117609" w:rsidP="004836AF">
      <w:pPr>
        <w:spacing w:before="240" w:after="240" w:line="360" w:lineRule="auto"/>
        <w:jc w:val="both"/>
        <w:rPr>
          <w:color w:val="231F20"/>
        </w:rPr>
      </w:pPr>
      <w:r w:rsidRPr="004836AF">
        <w:rPr>
          <w:color w:val="231F20"/>
        </w:rPr>
        <w:t>Para lograr guiar la regeneración ósea,  es indispensable el uso de membranas barrera que excluyan las células no deseadas, permitiendo que  las provenientes del hueso vecino puedan migrar hacia el defecto. Sumado a esto las membranas protegen la herida de esfuerzos mecánicos y contaminación salival. Existen diferentes tipos, las podemos clasificar en reabsorbibles y no reabsorbibles.  Dentro de las reabsorbibles destacamos las de colágeno reticular</w:t>
      </w:r>
      <w:r w:rsidR="001767A0">
        <w:rPr>
          <w:color w:val="231F20"/>
        </w:rPr>
        <w:t xml:space="preserve"> y no reticular</w:t>
      </w:r>
      <w:r w:rsidRPr="004836AF">
        <w:rPr>
          <w:color w:val="231F20"/>
        </w:rPr>
        <w:t xml:space="preserve">. En el grupo de las no reabsorbibles tenemos las membranas de </w:t>
      </w:r>
      <w:proofErr w:type="spellStart"/>
      <w:r w:rsidRPr="004836AF">
        <w:rPr>
          <w:color w:val="231F20"/>
        </w:rPr>
        <w:t>politetrafluoretileno</w:t>
      </w:r>
      <w:proofErr w:type="spellEnd"/>
      <w:r w:rsidRPr="004836AF">
        <w:rPr>
          <w:color w:val="231F20"/>
        </w:rPr>
        <w:t xml:space="preserve"> (PTFE) expandido(e) y denso(d) y las mallas de titanio. Como ventaja el uso de membranas </w:t>
      </w:r>
      <w:r w:rsidRPr="004836AF">
        <w:rPr>
          <w:color w:val="231F20"/>
        </w:rPr>
        <w:lastRenderedPageBreak/>
        <w:t>reabsorbibles elimina  la necesidad de una segunda cirugía  para extraer la membrana y reduce los riesgos de perforación del colgajo, exposición e infección</w:t>
      </w:r>
      <w:r w:rsidR="00D57174">
        <w:rPr>
          <w:color w:val="231F20"/>
        </w:rPr>
        <w:t xml:space="preserve"> </w:t>
      </w:r>
      <w:r w:rsidR="00D57174">
        <w:rPr>
          <w:color w:val="231F20"/>
        </w:rPr>
        <w:fldChar w:fldCharType="begin" w:fldLock="1"/>
      </w:r>
      <w:r w:rsidR="00D57174">
        <w:rPr>
          <w:color w:val="231F20"/>
        </w:rPr>
        <w:instrText>ADDIN CSL_CITATION {"citationItems":[{"id":"ITEM-1","itemData":{"DOI":"10.11607/prd.1407","ISSN":"01987569","abstract":"PURPOSE This prospective case series evaluated the use of a new synthetic resorbable membrane with autogenous bone, either alone or in combination with anorganic bovine bone-derived mineral, for horizontal ridge augmentation and subsequent implant placement. MATERIALS AND METHODS Particulated autogenous bone, either alone or in combination with anorganic bovine bone-derived mineral, was used for lateral ridge augmentation and covered with a new synthetic resorbable membrane (glycolide and trimethylene carbonate) to treat knife-edged ridges and prepare them for implant placement. Ridge measurements were obtained before and after augmentation, complications were recorded, and biopsy specimens were examined histologically. RESULTS Fifty-eight implants were placed in 22 patients with 25 surgical sites in knife-edged ridges. No complications were associated with this treatment. Clinical measurements revealed an average of 5.56 mm (± 1.45 mm) of lateral ridge augmentation after an average of 8.12 months (± 2.32 months) of graft healing. Clinically, all treated ridges were sufficient in width for subsequent implant placement. All implants have survived, with an average follow-up period of 45.88 months (± 12.43 months). Histologic analysis of the selected augmentation sites showed new bone formation and good incorporation of the bovine bone mineral particles. CONCLUSION The high implant survival rate and the low complication rate show the potential of this technique for the treatment of horizontal augmentation of lateral ridges and the efficacy of the new resorbable synthetic membrane.","author":[{"dropping-particle":"","family":"Urban","given":"Istvan A","non-dropping-particle":"","parse-names":false,"suffix":""},{"dropping-particle":"","family":"Nagursky","given":"Heiner","non-dropping-particle":"","parse-names":false,"suffix":""},{"dropping-particle":"","family":"Lozada","given":"Jaime L","non-dropping-particle":"","parse-names":false,"suffix":""},{"dropping-particle":"","family":"Nagy","given":"Katalin","non-dropping-particle":"","parse-names":false,"suffix":""}],"container-title":"The International Journal of Periodontics and Restorative Dentistry","id":"ITEM-1","issue":"3","issued":{"date-parts":[["2013"]]},"page":"299-307","title":"Horizontal Ridge Augmentation with a Collagen Membrane and a Combination of Particulated Autogenous Bone and Anorganic Bovine Bone–Derived Mineral: A Prospective Case Series in 25 Patients","type":"article-journal","volume":"33"},"uris":["http://www.mendeley.com/documents/?uuid=21714b75-76c5-438b-becd-45d85157ef2b"]}],"mendeley":{"formattedCitation":"(26)","plainTextFormattedCitation":"(26)","previouslyFormattedCitation":"(26)"},"properties":{"noteIndex":0},"schema":"https://github.com/citation-style-language/schema/raw/master/csl-citation.json"}</w:instrText>
      </w:r>
      <w:r w:rsidR="00D57174">
        <w:rPr>
          <w:color w:val="231F20"/>
        </w:rPr>
        <w:fldChar w:fldCharType="separate"/>
      </w:r>
      <w:r w:rsidR="00D57174" w:rsidRPr="00D57174">
        <w:rPr>
          <w:noProof/>
          <w:color w:val="231F20"/>
        </w:rPr>
        <w:t>(26)</w:t>
      </w:r>
      <w:r w:rsidR="00D57174">
        <w:rPr>
          <w:color w:val="231F20"/>
        </w:rPr>
        <w:fldChar w:fldCharType="end"/>
      </w:r>
      <w:r w:rsidRPr="004836AF">
        <w:rPr>
          <w:color w:val="231F20"/>
        </w:rPr>
        <w:t xml:space="preserve">. </w:t>
      </w:r>
      <w:r w:rsidR="00D57174">
        <w:rPr>
          <w:color w:val="231F20"/>
        </w:rPr>
        <w:t>L</w:t>
      </w:r>
      <w:r w:rsidRPr="004836AF">
        <w:rPr>
          <w:color w:val="231F20"/>
        </w:rPr>
        <w:t xml:space="preserve">as membranas deben seguir los siguientes principios: ser </w:t>
      </w:r>
      <w:proofErr w:type="spellStart"/>
      <w:r w:rsidRPr="004836AF">
        <w:rPr>
          <w:color w:val="231F20"/>
        </w:rPr>
        <w:t>biocompatible</w:t>
      </w:r>
      <w:proofErr w:type="spellEnd"/>
      <w:r w:rsidRPr="004836AF">
        <w:rPr>
          <w:color w:val="231F20"/>
        </w:rPr>
        <w:t>, mantener el espacio, ocluir el pasaje celular, integrarse a los tejidos y ser clínicamente manejable</w:t>
      </w:r>
      <w:r w:rsidR="00D57174">
        <w:rPr>
          <w:color w:val="231F20"/>
        </w:rPr>
        <w:t xml:space="preserve"> </w:t>
      </w:r>
      <w:r w:rsidR="00D57174">
        <w:rPr>
          <w:color w:val="231F20"/>
        </w:rPr>
        <w:fldChar w:fldCharType="begin" w:fldLock="1"/>
      </w:r>
      <w:r w:rsidR="00D57174">
        <w:rPr>
          <w:color w:val="231F20"/>
        </w:rPr>
        <w:instrText>ADDIN CSL_CITATION {"citationItems":[{"id":"ITEM-1","itemData":{"DOI":"10.1016/j.jpor.2012.12.001","ISSN":"18831958","abstract":"Research on guided bone regeneration (GBR) is still ongoing, with evidence mainly from preclinical studies. Various current barrier membranes should fulfill the main design criteria for GBR, such as biocompatibility, occlusivity, spaciousness, clinical manageability and the appropriate integration with the surrounding tissue. These GBR characteristics are required to provide the maximum membrane function and mechanical support to the tissue during bone formation. In this review, various commercially available, resorbable and non-resorbable membranes with different characteristics are discussed and summarized for their usefulness in preclinical studies. Membranes offer promising solutions in animal models; however, an ideal membrane has not been established yet for clinical applications. Every membrane type presents both advantages and disadvantages. Titanium mesh membranes offer superb mechanical properties for GBR treatment and its current efficacy in trials will be a focus in this review. A thorough understanding of the benefits and limitations inherent to various materials in specific clinical applications will be of great value and aid in the selection of an optimal membrane for GBR. © 2013 Japan Prosthodontic Society.","author":[{"dropping-particle":"","family":"Rakhmatia","given":"Yunia Dwi","non-dropping-particle":"","parse-names":false,"suffix":""},{"dropping-particle":"","family":"Ayukawa","given":"Yasunori","non-dropping-particle":"","parse-names":false,"suffix":""},{"dropping-particle":"","family":"Furuhashi","given":"Akihiro","non-dropping-particle":"","parse-names":false,"suffix":""},{"dropping-particle":"","family":"Koyano","given":"Kiyoshi","non-dropping-particle":"","parse-names":false,"suffix":""}],"container-title":"Journal of Prosthodontic Research","id":"ITEM-1","issue":"1","issued":{"date-parts":[["2013"]]},"page":"3-14","publisher":"Japan Prosthodontic Society","title":"Current barrier membranes: Titanium mesh and other membranes for guided bone regeneration in dental applications","type":"article-journal","volume":"57"},"uris":["http://www.mendeley.com/documents/?uuid=60c8b6f2-ebe6-469b-b4db-6f4f25af3524"]}],"mendeley":{"formattedCitation":"(27)","plainTextFormattedCitation":"(27)","previouslyFormattedCitation":"(27)"},"properties":{"noteIndex":0},"schema":"https://github.com/citation-style-language/schema/raw/master/csl-citation.json"}</w:instrText>
      </w:r>
      <w:r w:rsidR="00D57174">
        <w:rPr>
          <w:color w:val="231F20"/>
        </w:rPr>
        <w:fldChar w:fldCharType="separate"/>
      </w:r>
      <w:r w:rsidR="00D57174" w:rsidRPr="00D57174">
        <w:rPr>
          <w:noProof/>
          <w:color w:val="231F20"/>
        </w:rPr>
        <w:t>(27)</w:t>
      </w:r>
      <w:r w:rsidR="00D57174">
        <w:rPr>
          <w:color w:val="231F20"/>
        </w:rPr>
        <w:fldChar w:fldCharType="end"/>
      </w:r>
      <w:r w:rsidRPr="004836AF">
        <w:rPr>
          <w:color w:val="231F20"/>
        </w:rPr>
        <w:t>.</w:t>
      </w:r>
    </w:p>
    <w:p w14:paraId="5EB62BB0" w14:textId="250607CC" w:rsidR="005E334C" w:rsidRPr="004836AF" w:rsidRDefault="00117609" w:rsidP="004836AF">
      <w:pPr>
        <w:spacing w:before="240" w:after="240" w:line="360" w:lineRule="auto"/>
        <w:jc w:val="both"/>
        <w:rPr>
          <w:color w:val="231F20"/>
        </w:rPr>
      </w:pPr>
      <w:r w:rsidRPr="004836AF">
        <w:rPr>
          <w:b/>
          <w:color w:val="231F20"/>
        </w:rPr>
        <w:t xml:space="preserve">Membranas de PTFE: </w:t>
      </w:r>
      <w:r w:rsidRPr="004836AF">
        <w:rPr>
          <w:color w:val="231F20"/>
        </w:rPr>
        <w:t>La membrana de PTFE  expandido PTFE-e  tiene una porosidad</w:t>
      </w:r>
      <w:r w:rsidR="001767A0">
        <w:rPr>
          <w:color w:val="231F20"/>
        </w:rPr>
        <w:t xml:space="preserve"> </w:t>
      </w:r>
      <w:r w:rsidRPr="004836AF">
        <w:rPr>
          <w:color w:val="231F20"/>
        </w:rPr>
        <w:t xml:space="preserve">entre 5 y 20 micras en </w:t>
      </w:r>
      <w:r w:rsidR="001767A0">
        <w:rPr>
          <w:color w:val="231F20"/>
        </w:rPr>
        <w:t>su</w:t>
      </w:r>
      <w:r w:rsidRPr="004836AF">
        <w:rPr>
          <w:color w:val="231F20"/>
        </w:rPr>
        <w:t xml:space="preserve"> estructura. El tipo comercial más popular de PTFE-e fue Gore-Tex. La membrana de e-PTFE actúa como un obstáculo mecánico. Impide que los fibroblastos y otras células del tejido conectivo ingresen al defecto óseo, de modo que las células que probablemente migren más lentamente con potencial </w:t>
      </w:r>
      <w:proofErr w:type="spellStart"/>
      <w:r w:rsidRPr="004836AF">
        <w:rPr>
          <w:color w:val="231F20"/>
        </w:rPr>
        <w:t>osteogénico</w:t>
      </w:r>
      <w:proofErr w:type="spellEnd"/>
      <w:r w:rsidRPr="004836AF">
        <w:rPr>
          <w:color w:val="231F20"/>
        </w:rPr>
        <w:t xml:space="preserve"> puedan  poblar el defecto. Esta membrana debe ser removida ni bien se detecte una dehis</w:t>
      </w:r>
      <w:r w:rsidR="001767A0">
        <w:rPr>
          <w:color w:val="231F20"/>
        </w:rPr>
        <w:t>c</w:t>
      </w:r>
      <w:r w:rsidRPr="004836AF">
        <w:rPr>
          <w:color w:val="231F20"/>
        </w:rPr>
        <w:t xml:space="preserve">encia en la herida o infección. La porosidad que presenta  permite el pasaje de bacterias patógenas cuyo tamaño ronda las 10 micras. Para subsanar este problema se desarrolló una membrana de alta densidad cuyo tamaño de poro es menor a 0,3 micras.  Cuando  es expuesta a la cavidad oral excluye las bacterias, mientras que la difusión de oxígeno y la transfusión de moléculas pequeñas a través de ella todavía es posible. Debido a que el tamaño del poro es más grande en las membranas de PTFE-e, permite una fijación firme de los tejidos blandos, requiriendo la realización de una disección para su retiro. Por el contrario, la eliminación de PTFE-d es más simple debido a que no hay crecimiento de tejido en la superficie </w:t>
      </w:r>
      <w:r w:rsidR="00D57174">
        <w:rPr>
          <w:color w:val="231F20"/>
        </w:rPr>
        <w:fldChar w:fldCharType="begin" w:fldLock="1"/>
      </w:r>
      <w:r w:rsidR="00D57174">
        <w:rPr>
          <w:color w:val="231F20"/>
        </w:rPr>
        <w:instrText>ADDIN CSL_CITATION {"citationItems":[{"id":"ITEM-1","itemData":{"DOI":"10.1016/j.jpor.2012.12.001","ISSN":"18831958","abstract":"Research on guided bone regeneration (GBR) is still ongoing, with evidence mainly from preclinical studies. Various current barrier membranes should fulfill the main design criteria for GBR, such as biocompatibility, occlusivity, spaciousness, clinical manageability and the appropriate integration with the surrounding tissue. These GBR characteristics are required to provide the maximum membrane function and mechanical support to the tissue during bone formation. In this review, various commercially available, resorbable and non-resorbable membranes with different characteristics are discussed and summarized for their usefulness in preclinical studies. Membranes offer promising solutions in animal models; however, an ideal membrane has not been established yet for clinical applications. Every membrane type presents both advantages and disadvantages. Titanium mesh membranes offer superb mechanical properties for GBR treatment and its current efficacy in trials will be a focus in this review. A thorough understanding of the benefits and limitations inherent to various materials in specific clinical applications will be of great value and aid in the selection of an optimal membrane for GBR. © 2013 Japan Prosthodontic Society.","author":[{"dropping-particle":"","family":"Rakhmatia","given":"Yunia Dwi","non-dropping-particle":"","parse-names":false,"suffix":""},{"dropping-particle":"","family":"Ayukawa","given":"Yasunori","non-dropping-particle":"","parse-names":false,"suffix":""},{"dropping-particle":"","family":"Furuhashi","given":"Akihiro","non-dropping-particle":"","parse-names":false,"suffix":""},{"dropping-particle":"","family":"Koyano","given":"Kiyoshi","non-dropping-particle":"","parse-names":false,"suffix":""}],"container-title":"Journal of Prosthodontic Research","id":"ITEM-1","issue":"1","issued":{"date-parts":[["2013"]]},"page":"3-14","publisher":"Japan Prosthodontic Society","title":"Current barrier membranes: Titanium mesh and other membranes for guided bone regeneration in dental applications","type":"article-journal","volume":"57"},"uris":["http://www.mendeley.com/documents/?uuid=60c8b6f2-ebe6-469b-b4db-6f4f25af3524"]}],"mendeley":{"formattedCitation":"(27)","plainTextFormattedCitation":"(27)","previouslyFormattedCitation":"(27)"},"properties":{"noteIndex":0},"schema":"https://github.com/citation-style-language/schema/raw/master/csl-citation.json"}</w:instrText>
      </w:r>
      <w:r w:rsidR="00D57174">
        <w:rPr>
          <w:color w:val="231F20"/>
        </w:rPr>
        <w:fldChar w:fldCharType="separate"/>
      </w:r>
      <w:r w:rsidR="00D57174" w:rsidRPr="00D57174">
        <w:rPr>
          <w:noProof/>
          <w:color w:val="231F20"/>
        </w:rPr>
        <w:t>(27)</w:t>
      </w:r>
      <w:r w:rsidR="00D57174">
        <w:rPr>
          <w:color w:val="231F20"/>
        </w:rPr>
        <w:fldChar w:fldCharType="end"/>
      </w:r>
      <w:r w:rsidRPr="004836AF">
        <w:rPr>
          <w:color w:val="231F20"/>
        </w:rPr>
        <w:t>.</w:t>
      </w:r>
    </w:p>
    <w:p w14:paraId="45136F44" w14:textId="2995E1AE" w:rsidR="002D7194" w:rsidRDefault="00117609" w:rsidP="004836AF">
      <w:pPr>
        <w:spacing w:before="240" w:after="240" w:line="360" w:lineRule="auto"/>
        <w:jc w:val="both"/>
        <w:rPr>
          <w:color w:val="231F20"/>
        </w:rPr>
      </w:pPr>
      <w:r w:rsidRPr="004836AF">
        <w:rPr>
          <w:b/>
          <w:color w:val="231F20"/>
        </w:rPr>
        <w:t xml:space="preserve">Membranas de Colágeno: </w:t>
      </w:r>
      <w:r w:rsidRPr="004836AF">
        <w:rPr>
          <w:color w:val="231F20"/>
        </w:rPr>
        <w:t xml:space="preserve">La membrana de colágeno nativo  o no reticuladas consisten en colágeno porcino tipo 1 y/o tipo 3. Las características de esta membrana son baja rigidez y buena </w:t>
      </w:r>
      <w:proofErr w:type="spellStart"/>
      <w:r w:rsidRPr="004836AF">
        <w:rPr>
          <w:color w:val="231F20"/>
        </w:rPr>
        <w:t>biocompatibilidad</w:t>
      </w:r>
      <w:proofErr w:type="spellEnd"/>
      <w:r w:rsidRPr="004836AF">
        <w:rPr>
          <w:color w:val="231F20"/>
        </w:rPr>
        <w:t xml:space="preserve">. Según estudios las membranas  de colágeno reticulado cumplen un tiempo como barrera más corto, debido a la degradación de la estructura del colágeno.  No hay evidencia clara de lo que sucede cuando se exponen. </w:t>
      </w:r>
      <w:proofErr w:type="spellStart"/>
      <w:r w:rsidRPr="004836AF">
        <w:rPr>
          <w:color w:val="231F20"/>
        </w:rPr>
        <w:t>Simion</w:t>
      </w:r>
      <w:proofErr w:type="spellEnd"/>
      <w:r w:rsidRPr="004836AF">
        <w:rPr>
          <w:color w:val="231F20"/>
        </w:rPr>
        <w:t xml:space="preserve">  informó  que las membranas expuestas mostraron una disminución significativa de la regeneración ósea (41,6% frente a 96,6%) . </w:t>
      </w:r>
      <w:proofErr w:type="spellStart"/>
      <w:r w:rsidRPr="004836AF">
        <w:rPr>
          <w:color w:val="231F20"/>
        </w:rPr>
        <w:t>Zitzmann</w:t>
      </w:r>
      <w:proofErr w:type="spellEnd"/>
      <w:r w:rsidRPr="004836AF">
        <w:rPr>
          <w:color w:val="231F20"/>
        </w:rPr>
        <w:t xml:space="preserve"> y colaboradores informaron que las membranas no influyeron en la cicatrización de heridas y que podían disolverse rápidamente cuando se exponen</w:t>
      </w:r>
      <w:r w:rsidR="00D57174">
        <w:rPr>
          <w:color w:val="231F20"/>
        </w:rPr>
        <w:t xml:space="preserve"> </w:t>
      </w:r>
      <w:r w:rsidR="00D57174">
        <w:rPr>
          <w:color w:val="231F20"/>
        </w:rPr>
        <w:fldChar w:fldCharType="begin" w:fldLock="1"/>
      </w:r>
      <w:r w:rsidR="002D7194">
        <w:rPr>
          <w:color w:val="231F20"/>
        </w:rPr>
        <w:instrText>ADDIN CSL_CITATION {"citationItems":[{"id":"ITEM-1","itemData":{"DOI":"10.1016/j.jpor.2012.12.001","ISSN":"18831958","abstract":"Research on guided bone regeneration (GBR) is still ongoing, with evidence mainly from preclinical studies. Various current barrier membranes should fulfill the main design criteria for GBR, such as biocompatibility, occlusivity, spaciousness, clinical manageability and the appropriate integration with the surrounding tissue. These GBR characteristics are required to provide the maximum membrane function and mechanical support to the tissue during bone formation. In this review, various commercially available, resorbable and non-resorbable membranes with different characteristics are discussed and summarized for their usefulness in preclinical studies. Membranes offer promising solutions in animal models; however, an ideal membrane has not been established yet for clinical applications. Every membrane type presents both advantages and disadvantages. Titanium mesh membranes offer superb mechanical properties for GBR treatment and its current efficacy in trials will be a focus in this review. A thorough understanding of the benefits and limitations inherent to various materials in specific clinical applications will be of great value and aid in the selection of an optimal membrane for GBR. © 2013 Japan Prosthodontic Society.","author":[{"dropping-particle":"","family":"Rakhmatia","given":"Yunia Dwi","non-dropping-particle":"","parse-names":false,"suffix":""},{"dropping-particle":"","family":"Ayukawa","given":"Yasunori","non-dropping-particle":"","parse-names":false,"suffix":""},{"dropping-particle":"","family":"Furuhashi","given":"Akihiro","non-dropping-particle":"","parse-names":false,"suffix":""},{"dropping-particle":"","family":"Koyano","given":"Kiyoshi","non-dropping-particle":"","parse-names":false,"suffix":""}],"container-title":"Journal of Prosthodontic Research","id":"ITEM-1","issue":"1","issued":{"date-parts":[["2013"]]},"page":"3-14","publisher":"Japan Prosthodontic Society","title":"Current barrier membranes: Titanium mesh and other membranes for guided bone regeneration in dental applications","type":"article-journal","volume":"57"},"uris":["http://www.mendeley.com/documents/?uuid=60c8b6f2-ebe6-469b-b4db-6f4f25af3524"]}],"mendeley":{"formattedCitation":"(27)","plainTextFormattedCitation":"(27)","previouslyFormattedCitation":"(27)"},"properties":{"noteIndex":0},"schema":"https://github.com/citation-style-language/schema/raw/master/csl-citation.json"}</w:instrText>
      </w:r>
      <w:r w:rsidR="00D57174">
        <w:rPr>
          <w:color w:val="231F20"/>
        </w:rPr>
        <w:fldChar w:fldCharType="separate"/>
      </w:r>
      <w:r w:rsidR="00D57174" w:rsidRPr="00D57174">
        <w:rPr>
          <w:noProof/>
          <w:color w:val="231F20"/>
        </w:rPr>
        <w:t>(27)</w:t>
      </w:r>
      <w:r w:rsidR="00D57174">
        <w:rPr>
          <w:color w:val="231F20"/>
        </w:rPr>
        <w:fldChar w:fldCharType="end"/>
      </w:r>
      <w:r w:rsidRPr="004836AF">
        <w:rPr>
          <w:color w:val="231F20"/>
        </w:rPr>
        <w:t xml:space="preserve">. </w:t>
      </w:r>
    </w:p>
    <w:p w14:paraId="3C9B4576" w14:textId="7365D9B9" w:rsidR="005E334C" w:rsidRPr="004836AF" w:rsidRDefault="00117609" w:rsidP="004836AF">
      <w:pPr>
        <w:spacing w:before="240" w:after="240" w:line="360" w:lineRule="auto"/>
        <w:jc w:val="both"/>
        <w:rPr>
          <w:color w:val="231F20"/>
        </w:rPr>
      </w:pPr>
      <w:r w:rsidRPr="004836AF">
        <w:rPr>
          <w:color w:val="231F20"/>
        </w:rPr>
        <w:t xml:space="preserve">Otra membrana de colágeno reabsorbible utilizada es la de colágeno purificado porcino tipo 1. Según los fabricantes, esta membrana está compuesta de colágeno reticulado, mediante el uso de un metabolito nativo para mantener la integridad funcional  durante 6 meses. Algunos estudios han informado que dichas técnicas producen citotoxicidad y disminuyen la </w:t>
      </w:r>
      <w:proofErr w:type="spellStart"/>
      <w:r w:rsidRPr="004836AF">
        <w:rPr>
          <w:color w:val="231F20"/>
        </w:rPr>
        <w:t>biocompatibilidad</w:t>
      </w:r>
      <w:proofErr w:type="spellEnd"/>
      <w:r w:rsidRPr="004836AF">
        <w:rPr>
          <w:color w:val="231F20"/>
        </w:rPr>
        <w:t xml:space="preserve"> de las membranas. La </w:t>
      </w:r>
      <w:r w:rsidRPr="004836AF">
        <w:rPr>
          <w:color w:val="231F20"/>
        </w:rPr>
        <w:lastRenderedPageBreak/>
        <w:t xml:space="preserve">colonización celular que precede a la degradación y reabsorción de la membrana de colágeno depende del grado de reticulado de la membrana, cuanto mayor es el grado de reticulado del colágeno, más lenta es la tasa de degradación. Por lo tanto, es posible controlar el efecto barrera  de la membrana modificando el grado de reticulado </w:t>
      </w:r>
      <w:r w:rsidR="002D7194">
        <w:rPr>
          <w:color w:val="231F20"/>
        </w:rPr>
        <w:fldChar w:fldCharType="begin" w:fldLock="1"/>
      </w:r>
      <w:r w:rsidR="002D7194">
        <w:rPr>
          <w:color w:val="231F20"/>
        </w:rPr>
        <w:instrText>ADDIN CSL_CITATION {"citationItems":[{"id":"ITEM-1","itemData":{"DOI":"10.1016/j.jpor.2012.12.001","ISSN":"18831958","abstract":"Research on guided bone regeneration (GBR) is still ongoing, with evidence mainly from preclinical studies. Various current barrier membranes should fulfill the main design criteria for GBR, such as biocompatibility, occlusivity, spaciousness, clinical manageability and the appropriate integration with the surrounding tissue. These GBR characteristics are required to provide the maximum membrane function and mechanical support to the tissue during bone formation. In this review, various commercially available, resorbable and non-resorbable membranes with different characteristics are discussed and summarized for their usefulness in preclinical studies. Membranes offer promising solutions in animal models; however, an ideal membrane has not been established yet for clinical applications. Every membrane type presents both advantages and disadvantages. Titanium mesh membranes offer superb mechanical properties for GBR treatment and its current efficacy in trials will be a focus in this review. A thorough understanding of the benefits and limitations inherent to various materials in specific clinical applications will be of great value and aid in the selection of an optimal membrane for GBR. © 2013 Japan Prosthodontic Society.","author":[{"dropping-particle":"","family":"Rakhmatia","given":"Yunia Dwi","non-dropping-particle":"","parse-names":false,"suffix":""},{"dropping-particle":"","family":"Ayukawa","given":"Yasunori","non-dropping-particle":"","parse-names":false,"suffix":""},{"dropping-particle":"","family":"Furuhashi","given":"Akihiro","non-dropping-particle":"","parse-names":false,"suffix":""},{"dropping-particle":"","family":"Koyano","given":"Kiyoshi","non-dropping-particle":"","parse-names":false,"suffix":""}],"container-title":"Journal of Prosthodontic Research","id":"ITEM-1","issue":"1","issued":{"date-parts":[["2013"]]},"page":"3-14","publisher":"Japan Prosthodontic Society","title":"Current barrier membranes: Titanium mesh and other membranes for guided bone regeneration in dental applications","type":"article-journal","volume":"57"},"uris":["http://www.mendeley.com/documents/?uuid=60c8b6f2-ebe6-469b-b4db-6f4f25af3524"]}],"mendeley":{"formattedCitation":"(27)","plainTextFormattedCitation":"(27)","previouslyFormattedCitation":"(27)"},"properties":{"noteIndex":0},"schema":"https://github.com/citation-style-language/schema/raw/master/csl-citation.json"}</w:instrText>
      </w:r>
      <w:r w:rsidR="002D7194">
        <w:rPr>
          <w:color w:val="231F20"/>
        </w:rPr>
        <w:fldChar w:fldCharType="separate"/>
      </w:r>
      <w:r w:rsidR="002D7194" w:rsidRPr="002D7194">
        <w:rPr>
          <w:noProof/>
          <w:color w:val="231F20"/>
        </w:rPr>
        <w:t>(27)</w:t>
      </w:r>
      <w:r w:rsidR="002D7194">
        <w:rPr>
          <w:color w:val="231F20"/>
        </w:rPr>
        <w:fldChar w:fldCharType="end"/>
      </w:r>
      <w:r w:rsidRPr="004836AF">
        <w:rPr>
          <w:color w:val="231F20"/>
        </w:rPr>
        <w:t>. En una revisión sistemática realizada por Jiménez García en 2017 basada en ensayos clínicos aleatorizados y estudios clínicos controlados concluyeron que, los procedimientos de ROG a través de membranas de colágeno reabsorbibles logran ganancias óseas</w:t>
      </w:r>
      <w:r w:rsidR="001767A0">
        <w:rPr>
          <w:color w:val="231F20"/>
        </w:rPr>
        <w:t>,</w:t>
      </w:r>
      <w:r w:rsidRPr="004836AF">
        <w:rPr>
          <w:color w:val="231F20"/>
        </w:rPr>
        <w:t xml:space="preserve"> no habiendo encontrado diferencias estadísticamente significativa entre las membranas de colágeno reticulado y no reticulado. Sin embargo, en términos de </w:t>
      </w:r>
      <w:proofErr w:type="spellStart"/>
      <w:r w:rsidRPr="004836AF">
        <w:rPr>
          <w:color w:val="231F20"/>
        </w:rPr>
        <w:t>biocompatibilidad</w:t>
      </w:r>
      <w:proofErr w:type="spellEnd"/>
      <w:r w:rsidRPr="004836AF">
        <w:rPr>
          <w:color w:val="231F20"/>
        </w:rPr>
        <w:t>, integración tisular y complicaciones postoperatorias, los resultados sugieren que las membranas sin enlaces cruzados presentan mejores resultados</w:t>
      </w:r>
      <w:r w:rsidR="002D7194">
        <w:rPr>
          <w:color w:val="231F20"/>
        </w:rPr>
        <w:t xml:space="preserve"> </w:t>
      </w:r>
      <w:r w:rsidR="002D7194">
        <w:rPr>
          <w:color w:val="231F20"/>
        </w:rPr>
        <w:fldChar w:fldCharType="begin" w:fldLock="1"/>
      </w:r>
      <w:r w:rsidR="002D7194">
        <w:rPr>
          <w:color w:val="231F20"/>
        </w:rPr>
        <w:instrText>ADDIN CSL_CITATION {"citationItems":[{"id":"ITEM-1","itemData":{"DOI":"10.1111/jre.12470","ISSN":"16000765","abstract":"The aim of this study was to conduct a systematic review to compare the clinical outcomes of two different resorbable collagen membranes in terms of regenerated bone volume, postoperative complications and membrane degradation during bone regeneration procedures. Randomized controlled trials (RCT) or controlled trials (CT) that compared both techniques were reviewed on four electronic databases up to December 2015, a manual search was performed on the bibliography of the collected articles and the authors were contacted for additional references if undetected on the electronic and manual search. Membrane exposure was evaluated as a dichotomous outcome and the statistical unit was the membrane. The results were presented as relative risk (RR) with a 95% confidence interval. Eight RCTs and one CT were included in this study. The majority of the studies depicted a bone augmentation area, which ranged from 46.15% to 94.6% for the non-cross-link membranes and from 44% to 92.6% for the cross-link membranes at the 4-6 month re-entry surgery. From a total of 289 patients, a forest plot concerning the membrane exposure was constructed using the obtained RR of the included studies. The overall RR was 1.43 (95% CI: 0.85-2.39) with no statistically significant differences between the two groups, although with a marginal tendency towards higher exposure in the cross-link membrane group. This systematic review suggests the different membranes present themselves as appropriate for bone regeneration procedures, although cross-link membranes present higher rates of postoperative complications. However, more RCT with higher sample sizes are needed to evaluate the different membranes. The suggested lack of clinical differences between the compared membranes suggest that further cost-benefit ratio, tissue integration and postoperative complication oriented studies should be performed so that clinicians can take a patient-centred, evidence-based decision.","author":[{"dropping-particle":"","family":"Jiménez Garcia","given":"J.","non-dropping-particle":"","parse-names":false,"suffix":""},{"dropping-particle":"","family":"Berghezan","given":"S.","non-dropping-particle":"","parse-names":false,"suffix":""},{"dropping-particle":"","family":"Caramês","given":"J. M.M.","non-dropping-particle":"","parse-names":false,"suffix":""},{"dropping-particle":"","family":"Dard","given":"M. M.","non-dropping-particle":"","parse-names":false,"suffix":""},{"dropping-particle":"","family":"Marques","given":"D. N.S.","non-dropping-particle":"","parse-names":false,"suffix":""}],"container-title":"Journal of Periodontal Research","id":"ITEM-1","issue":"6","issued":{"date-parts":[["2017"]]},"page":"955-964","title":"Effect of cross-linked vs non-cross-linked collagen membranes on bone: A systematic review","type":"article-journal","volume":"52"},"uris":["http://www.mendeley.com/documents/?uuid=aba6871c-6442-410c-ba96-414a22ab117e"]}],"mendeley":{"formattedCitation":"(28)","plainTextFormattedCitation":"(28)","previouslyFormattedCitation":"(28)"},"properties":{"noteIndex":0},"schema":"https://github.com/citation-style-language/schema/raw/master/csl-citation.json"}</w:instrText>
      </w:r>
      <w:r w:rsidR="002D7194">
        <w:rPr>
          <w:color w:val="231F20"/>
        </w:rPr>
        <w:fldChar w:fldCharType="separate"/>
      </w:r>
      <w:r w:rsidR="002D7194" w:rsidRPr="002D7194">
        <w:rPr>
          <w:noProof/>
          <w:color w:val="231F20"/>
        </w:rPr>
        <w:t>(28)</w:t>
      </w:r>
      <w:r w:rsidR="002D7194">
        <w:rPr>
          <w:color w:val="231F20"/>
        </w:rPr>
        <w:fldChar w:fldCharType="end"/>
      </w:r>
      <w:r w:rsidRPr="004836AF">
        <w:rPr>
          <w:color w:val="231F20"/>
        </w:rPr>
        <w:t xml:space="preserve">. </w:t>
      </w:r>
    </w:p>
    <w:p w14:paraId="00A45194" w14:textId="77777777" w:rsidR="00D00AEC" w:rsidRDefault="00D00AEC" w:rsidP="004836AF">
      <w:pPr>
        <w:spacing w:line="360" w:lineRule="auto"/>
        <w:ind w:right="1420"/>
        <w:jc w:val="both"/>
      </w:pPr>
    </w:p>
    <w:p w14:paraId="620448B3" w14:textId="77777777" w:rsidR="00D00AEC" w:rsidRDefault="00D00AEC" w:rsidP="004836AF">
      <w:pPr>
        <w:spacing w:line="360" w:lineRule="auto"/>
        <w:ind w:right="1420"/>
        <w:jc w:val="both"/>
      </w:pPr>
    </w:p>
    <w:p w14:paraId="31FE72C5" w14:textId="6FC6A3FA" w:rsidR="005E334C" w:rsidRPr="00D00AEC" w:rsidRDefault="00117609" w:rsidP="004836AF">
      <w:pPr>
        <w:spacing w:line="360" w:lineRule="auto"/>
        <w:ind w:right="1420"/>
        <w:jc w:val="both"/>
        <w:rPr>
          <w:b/>
          <w:sz w:val="24"/>
          <w:szCs w:val="24"/>
        </w:rPr>
      </w:pPr>
      <w:r w:rsidRPr="00D00AEC">
        <w:rPr>
          <w:b/>
          <w:sz w:val="24"/>
          <w:szCs w:val="24"/>
        </w:rPr>
        <w:t>3.4 - Anatomía</w:t>
      </w:r>
    </w:p>
    <w:p w14:paraId="4AA79366" w14:textId="77777777" w:rsidR="00D00AEC" w:rsidRDefault="00117609" w:rsidP="004836AF">
      <w:pPr>
        <w:spacing w:before="240" w:after="240" w:line="360" w:lineRule="auto"/>
        <w:jc w:val="both"/>
      </w:pPr>
      <w:r w:rsidRPr="004836AF">
        <w:t xml:space="preserve">Una de las principales razones por las que el aumento vertical del reborde en mandíbula atrófica es complejo y potencialmente riesgoso es por estructuras anatómicas como el paquete </w:t>
      </w:r>
      <w:proofErr w:type="spellStart"/>
      <w:r w:rsidRPr="004836AF">
        <w:t>neurovascular</w:t>
      </w:r>
      <w:proofErr w:type="spellEnd"/>
      <w:r w:rsidRPr="004836AF">
        <w:t xml:space="preserve"> alveolar inferior y la fosa </w:t>
      </w:r>
      <w:proofErr w:type="spellStart"/>
      <w:r w:rsidRPr="004836AF">
        <w:t>submandibular</w:t>
      </w:r>
      <w:proofErr w:type="spellEnd"/>
      <w:r w:rsidRPr="004836AF">
        <w:t xml:space="preserve"> cuya presencia debemos advertir para no dañar durante las maniobras de colocación de implante o de AVR. Las complicaciones pueden incluir disturbios sensoriales, trauma en las arterias sublingual o </w:t>
      </w:r>
      <w:proofErr w:type="spellStart"/>
      <w:r w:rsidRPr="004836AF">
        <w:t>submental</w:t>
      </w:r>
      <w:proofErr w:type="spellEnd"/>
      <w:r w:rsidRPr="004836AF">
        <w:t xml:space="preserve"> con la consecuencia de hematoma en los espacios sublinguales y </w:t>
      </w:r>
      <w:proofErr w:type="spellStart"/>
      <w:r w:rsidRPr="004836AF">
        <w:t>submandibulares</w:t>
      </w:r>
      <w:proofErr w:type="spellEnd"/>
      <w:r w:rsidRPr="004836AF">
        <w:t xml:space="preserve">. Según </w:t>
      </w:r>
      <w:proofErr w:type="spellStart"/>
      <w:r w:rsidRPr="004836AF">
        <w:t>Milinovic</w:t>
      </w:r>
      <w:proofErr w:type="spellEnd"/>
      <w:r w:rsidRPr="004836AF">
        <w:t xml:space="preserve"> el AVR en esta zona es una terapia impredecible por la complejidad del abordaje. Durante el fresado o inserción del implante cuando estamos en presencia de un reborde en forma de U,  la cortical lingual puede ser perforada  (1%).  La vascularización de la zona interior de la mandíbula es aportada por la arteria facial y sus ramas, la arteria </w:t>
      </w:r>
      <w:proofErr w:type="spellStart"/>
      <w:r w:rsidRPr="004836AF">
        <w:t>submental</w:t>
      </w:r>
      <w:proofErr w:type="spellEnd"/>
      <w:r w:rsidRPr="004836AF">
        <w:t>, lingual y su rama sublingual. Su injuria es crítica, pudiendo provocar una hemorragia,  que si no es controlada por compresión o ligadura, podría poner en riesgo la vida del paciente</w:t>
      </w:r>
      <w:r w:rsidR="002D7194">
        <w:t xml:space="preserve"> </w:t>
      </w:r>
      <w:r w:rsidR="002D7194">
        <w:fldChar w:fldCharType="begin" w:fldLock="1"/>
      </w:r>
      <w:r w:rsidR="002D7194">
        <w:instrText>ADDIN CSL_CITATION {"citationItems":[{"id":"ITEM-1","itemData":{"DOI":"10.1016/j.ijom.2013.12.004","ISSN":"13990020","abstract":"Bone resorption following tooth loss often interferes with dental implant placement in a desired position, and requires additional bone augmentation procedures. Many techniques have been described to augment and reconstruct alveolar ridge width and height. The aim of this study was to systemically review whether there is evidence to provide indications for the various bone augmentation procedures based on defect dimension and type. An electronic search of the Medline database and Cochrane library, complemented by a manual search, was performed. Inclusion criteria for partial edentulism were: clinical trials on bone augmentation procedures in preparation or at the time of implant placement, reporting preoperative and postoperative dimensions of the ridge. For edentulous patients, studies were included when providing the data on ridge and defect description, or the amount of augmentation achieved. The search yielded 53 publications for partially edentulous patients and 15 publications for edentulous patients. The literature provides evidence that dehiscence and fenestrations can be treated successfully with guided bone regeneration (GBR) at the time of implant placement (mean implant survival rate (MISR) 92.2%, mean complication rate (MCR) 4.99%). In partially edentulous ridges, when a horizontal defect is present, procedures such as staged GBR (MISR 100%, MCR 11.9%), bone block grafts (MISR 98.4%, MCR 6.3%), and ridge expansion/splitting (MISR 97.4%, MCR 6.8%) have proved to be effective. Vertical defects can be treated with simultaneous and staged GBR (MISR 98.9%, MCR 13.1% and MISR 100%, MCR 6.95%, respectively), bone block grafts (MISR 96.3%, MCR 8.1%), and distraction osteogenesis (MISR 98.2%, MCR 22.4%). In edentulous patients, there is evidence that bone block grafts can be used (MISR 87.75%), and that Le Fort I osteotomies can be applied (MISR 87.9%), but associated with a high complication rate. The objective of extracting specific indications for each procedure could not be fully achieved due to the heterogeneity of the studies available. Further studies on bone augmentation procedures should report precise preoperative and postoperative measurements to enable a more exact analysis of the augmentation procedure, as well as to provide the clinician with the rationale for choosing the most indicated surgical approach. © 2013 Published by Elsevier Ltd on behalf of International Association of Oral and Maxillofacial Surgeons. All rights reserved.","author":[{"dropping-particle":"","family":"Milinkovic","given":"I.","non-dropping-particle":"","parse-names":false,"suffix":""},{"dropping-particle":"","family":"Cordaro","given":"L.","non-dropping-particle":"","parse-names":false,"suffix":""}],"container-title":"International Journal of Oral and Maxillofacial Surgery","id":"ITEM-1","issue":"5","issued":{"date-parts":[["2014"]]},"page":"606-625","publisher":"Churchill Livingstone","title":"Are there specific indications for the different alveolar bone augmentation procedures for implant placement? A systematic review","type":"article","volume":"43"},"uris":["http://www.mendeley.com/documents/?uuid=6a037534-3035-357a-971f-c4031adc635c"]}],"mendeley":{"formattedCitation":"(18)","plainTextFormattedCitation":"(18)","previouslyFormattedCitation":"(18)"},"properties":{"noteIndex":0},"schema":"https://github.com/citation-style-language/schema/raw/master/csl-citation.json"}</w:instrText>
      </w:r>
      <w:r w:rsidR="002D7194">
        <w:fldChar w:fldCharType="separate"/>
      </w:r>
      <w:r w:rsidR="002D7194" w:rsidRPr="002D7194">
        <w:rPr>
          <w:noProof/>
        </w:rPr>
        <w:t>(18)</w:t>
      </w:r>
      <w:r w:rsidR="002D7194">
        <w:fldChar w:fldCharType="end"/>
      </w:r>
      <w:r w:rsidRPr="004836AF">
        <w:t>.</w:t>
      </w:r>
    </w:p>
    <w:p w14:paraId="6A9842F4" w14:textId="7E4417D7" w:rsidR="005E334C" w:rsidRPr="002D7194" w:rsidRDefault="00117609" w:rsidP="004836AF">
      <w:pPr>
        <w:spacing w:before="240" w:after="240" w:line="360" w:lineRule="auto"/>
        <w:jc w:val="both"/>
      </w:pPr>
      <w:proofErr w:type="spellStart"/>
      <w:r w:rsidRPr="004836AF">
        <w:rPr>
          <w:color w:val="231F20"/>
        </w:rPr>
        <w:t>Urban</w:t>
      </w:r>
      <w:proofErr w:type="spellEnd"/>
      <w:r w:rsidRPr="004836AF">
        <w:rPr>
          <w:color w:val="231F20"/>
        </w:rPr>
        <w:t xml:space="preserve"> y Monje en un ensayo en el que estudiaron las referencias anatómicas de la región mandibular y sus implicaciones clínicas en el AVR concluyen que: para realizar una técnica segura de AVR en </w:t>
      </w:r>
      <w:proofErr w:type="spellStart"/>
      <w:r w:rsidRPr="004836AF">
        <w:rPr>
          <w:color w:val="231F20"/>
        </w:rPr>
        <w:t>madíbula</w:t>
      </w:r>
      <w:proofErr w:type="spellEnd"/>
      <w:r w:rsidRPr="004836AF">
        <w:rPr>
          <w:color w:val="231F20"/>
        </w:rPr>
        <w:t xml:space="preserve"> es necesario  levantar un colgajo lingual amplio para obtener un cierre sin tensión, por lo que  entender y conocer por completo su anatomía es fundamental. Destacando que el tejido conjuntivo denso  de la zona </w:t>
      </w:r>
      <w:r w:rsidRPr="004836AF">
        <w:rPr>
          <w:color w:val="231F20"/>
        </w:rPr>
        <w:lastRenderedPageBreak/>
        <w:t xml:space="preserve">juega un rol importante en la protección de dichos elementos del espacio sublingual durante el manejo del colgajo. </w:t>
      </w:r>
      <w:r w:rsidR="002D7194">
        <w:rPr>
          <w:color w:val="231F20"/>
        </w:rPr>
        <w:fldChar w:fldCharType="begin" w:fldLock="1"/>
      </w:r>
      <w:r w:rsidR="00DB10DD">
        <w:rPr>
          <w:color w:val="231F20"/>
        </w:rPr>
        <w:instrText>ADDIN CSL_CITATION {"citationItems":[{"id":"ITEM-1","itemData":{"DOI":"10.11607/prd.3199","ISSN":"01987569","abstract":"© 2017 by Quintessence Publishing Co Inc. Mandibular ridge augmentation via guided bone regeneration in the atrophic mandible is considered one of the most challenging scenarios for implantsupported oral rehabilitation. Uneventful wound healing has clearly demonstrated its impact on the final regenerative outcome. Soft tissue management must be precise and adequate to attain flap-free wound closure. Accordingly, it demands exhaustive insight and expertise to avoid damaging the neighboring structures. The cadaver study described herein discusses the mandibular morphologic landmarks (ie, musculature, vascularization, innervation, and salivary glands) necessary to safely perform regenerative procedures in the atrophic mandibular ridge, such as vertical ridge augmentation and dental implant surgery. The potential intraoperative complications are presented, as well as clinical implications of which the clinician must be aware to prevent adverse surgical events during regenerative surgery and implant placement in this anatomical region.","author":[{"dropping-particle":"","family":"Urban","given":"Istvan","non-dropping-particle":"","parse-names":false,"suffix":""},{"dropping-particle":"","family":"Monje","given":"Alberto","non-dropping-particle":"","parse-names":false,"suffix":""},{"dropping-particle":"","family":"Wang","given":"Hom-Lay","non-dropping-particle":"","parse-names":false,"suffix":""},{"dropping-particle":"","family":"Lozada","given":"Jaime","non-dropping-particle":"","parse-names":false,"suffix":""},{"dropping-particle":"","family":"Gerber","given":"Gabor","non-dropping-particle":"","parse-names":false,"suffix":""},{"dropping-particle":"","family":"Baksa","given":"Gabor","non-dropping-particle":"","parse-names":false,"suffix":""}],"container-title":"The International Journal of Periodontics &amp; Restorative Dentistry","id":"ITEM-1","issue":"3","issued":{"date-parts":[["2017"]]},"page":"347-353","title":"Mandibular Regional Anatomical Landmarks and Clinical Implications for Ridge Augmentation","type":"article-journal","volume":"37"},"uris":["http://www.mendeley.com/documents/?uuid=a2afedab-fc29-4c5e-a64c-14736d4bb62c"]}],"mendeley":{"formattedCitation":"(29)","plainTextFormattedCitation":"(29)","previouslyFormattedCitation":"(29)"},"properties":{"noteIndex":0},"schema":"https://github.com/citation-style-language/schema/raw/master/csl-citation.json"}</w:instrText>
      </w:r>
      <w:r w:rsidR="002D7194">
        <w:rPr>
          <w:color w:val="231F20"/>
        </w:rPr>
        <w:fldChar w:fldCharType="separate"/>
      </w:r>
      <w:r w:rsidR="002D7194" w:rsidRPr="002D7194">
        <w:rPr>
          <w:noProof/>
          <w:color w:val="231F20"/>
        </w:rPr>
        <w:t>(29)</w:t>
      </w:r>
      <w:r w:rsidR="002D7194">
        <w:rPr>
          <w:color w:val="231F20"/>
        </w:rPr>
        <w:fldChar w:fldCharType="end"/>
      </w:r>
      <w:r w:rsidRPr="004836AF">
        <w:rPr>
          <w:color w:val="231F20"/>
        </w:rPr>
        <w:t>(Figura 1</w:t>
      </w:r>
      <w:r w:rsidR="00DB10DD">
        <w:rPr>
          <w:color w:val="231F20"/>
        </w:rPr>
        <w:t>)</w:t>
      </w:r>
    </w:p>
    <w:p w14:paraId="6E4D7E8D" w14:textId="43968491" w:rsidR="005E334C" w:rsidRDefault="00DB10DD" w:rsidP="004836AF">
      <w:pPr>
        <w:spacing w:before="240" w:after="240" w:line="360" w:lineRule="auto"/>
        <w:jc w:val="both"/>
      </w:pPr>
      <w:r>
        <w:rPr>
          <w:noProof/>
        </w:rPr>
        <mc:AlternateContent>
          <mc:Choice Requires="wps">
            <w:drawing>
              <wp:anchor distT="0" distB="0" distL="114300" distR="114300" simplePos="0" relativeHeight="251659264" behindDoc="0" locked="0" layoutInCell="1" allowOverlap="1" wp14:anchorId="3E50D080" wp14:editId="16067982">
                <wp:simplePos x="0" y="0"/>
                <wp:positionH relativeFrom="column">
                  <wp:posOffset>-3175</wp:posOffset>
                </wp:positionH>
                <wp:positionV relativeFrom="paragraph">
                  <wp:posOffset>2794907</wp:posOffset>
                </wp:positionV>
                <wp:extent cx="4209143" cy="905436"/>
                <wp:effectExtent l="0" t="0" r="7620" b="9525"/>
                <wp:wrapNone/>
                <wp:docPr id="8" name="Cuadro de texto 8"/>
                <wp:cNvGraphicFramePr/>
                <a:graphic xmlns:a="http://schemas.openxmlformats.org/drawingml/2006/main">
                  <a:graphicData uri="http://schemas.microsoft.com/office/word/2010/wordprocessingShape">
                    <wps:wsp>
                      <wps:cNvSpPr txBox="1"/>
                      <wps:spPr>
                        <a:xfrm>
                          <a:off x="0" y="0"/>
                          <a:ext cx="4209143" cy="905436"/>
                        </a:xfrm>
                        <a:prstGeom prst="rect">
                          <a:avLst/>
                        </a:prstGeom>
                        <a:solidFill>
                          <a:schemeClr val="lt1"/>
                        </a:solidFill>
                        <a:ln w="6350">
                          <a:solidFill>
                            <a:prstClr val="black"/>
                          </a:solidFill>
                        </a:ln>
                      </wps:spPr>
                      <wps:txbx>
                        <w:txbxContent>
                          <w:p w14:paraId="654FD01E" w14:textId="7B1CF9CE" w:rsidR="004B358B" w:rsidRDefault="004B358B">
                            <w:pPr>
                              <w:rPr>
                                <w:lang w:val="es-ES"/>
                              </w:rPr>
                            </w:pPr>
                            <w:r>
                              <w:rPr>
                                <w:lang w:val="es-ES"/>
                              </w:rPr>
                              <w:t>Figura 1. Vista lateral de la fosa mandibular luego de que la mandíbula fuera rotada hacia vestibular. (a) músculo milohioideo. (b)músculo genihioideo. (c) rama sublingual de la arteria submental. (d) glándula sublingual. (e) proceso unciforme de la glándula submandibular. (f) nervio lingual. (g) conducto de Warton. (29)</w:t>
                            </w:r>
                          </w:p>
                          <w:p w14:paraId="55D87D30" w14:textId="77777777" w:rsidR="004B358B" w:rsidRPr="00942FDE" w:rsidRDefault="004B358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0D080" id="_x0000_t202" coordsize="21600,21600" o:spt="202" path="m,l,21600r21600,l21600,xe">
                <v:stroke joinstyle="miter"/>
                <v:path gradientshapeok="t" o:connecttype="rect"/>
              </v:shapetype>
              <v:shape id="Cuadro de texto 8" o:spid="_x0000_s1026" type="#_x0000_t202" style="position:absolute;left:0;text-align:left;margin-left:-.25pt;margin-top:220.05pt;width:331.45pt;height:7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" fillcolor="white [3201]" strokeweight=".5pt">
                <v:textbox>
                  <w:txbxContent>
                    <w:p w14:paraId="654FD01E" w14:textId="7B1CF9CE" w:rsidR="004B358B" w:rsidRDefault="004B358B">
                      <w:pPr>
                        <w:rPr>
                          <w:lang w:val="es-ES"/>
                        </w:rPr>
                      </w:pPr>
                      <w:r>
                        <w:rPr>
                          <w:lang w:val="es-ES"/>
                        </w:rPr>
                        <w:t xml:space="preserve">Figura 1. Vista lateral de la fosa mandibular luego de que la mandíbula fuera rotada hacia vestibular. (a) músculo </w:t>
                      </w:r>
                      <w:proofErr w:type="spellStart"/>
                      <w:r>
                        <w:rPr>
                          <w:lang w:val="es-ES"/>
                        </w:rPr>
                        <w:t>milohioideo</w:t>
                      </w:r>
                      <w:proofErr w:type="spellEnd"/>
                      <w:r>
                        <w:rPr>
                          <w:lang w:val="es-ES"/>
                        </w:rPr>
                        <w:t xml:space="preserve">. (b)músculo </w:t>
                      </w:r>
                      <w:proofErr w:type="spellStart"/>
                      <w:r>
                        <w:rPr>
                          <w:lang w:val="es-ES"/>
                        </w:rPr>
                        <w:t>genihioideo</w:t>
                      </w:r>
                      <w:proofErr w:type="spellEnd"/>
                      <w:r>
                        <w:rPr>
                          <w:lang w:val="es-ES"/>
                        </w:rPr>
                        <w:t xml:space="preserve">. (c) rama sublingual de la arteria </w:t>
                      </w:r>
                      <w:proofErr w:type="spellStart"/>
                      <w:r>
                        <w:rPr>
                          <w:lang w:val="es-ES"/>
                        </w:rPr>
                        <w:t>submental</w:t>
                      </w:r>
                      <w:proofErr w:type="spellEnd"/>
                      <w:r>
                        <w:rPr>
                          <w:lang w:val="es-ES"/>
                        </w:rPr>
                        <w:t xml:space="preserve">. (d) glándula sublingual. (e) proceso unciforme de la glándula </w:t>
                      </w:r>
                      <w:proofErr w:type="spellStart"/>
                      <w:r>
                        <w:rPr>
                          <w:lang w:val="es-ES"/>
                        </w:rPr>
                        <w:t>submandibular</w:t>
                      </w:r>
                      <w:proofErr w:type="spellEnd"/>
                      <w:r>
                        <w:rPr>
                          <w:lang w:val="es-ES"/>
                        </w:rPr>
                        <w:t xml:space="preserve">. (f) nervio lingual. (g) conducto de </w:t>
                      </w:r>
                      <w:proofErr w:type="spellStart"/>
                      <w:r>
                        <w:rPr>
                          <w:lang w:val="es-ES"/>
                        </w:rPr>
                        <w:t>Warton</w:t>
                      </w:r>
                      <w:proofErr w:type="spellEnd"/>
                      <w:r>
                        <w:rPr>
                          <w:lang w:val="es-ES"/>
                        </w:rPr>
                        <w:t>. (29)</w:t>
                      </w:r>
                    </w:p>
                    <w:p w14:paraId="55D87D30" w14:textId="77777777" w:rsidR="004B358B" w:rsidRPr="00942FDE" w:rsidRDefault="004B358B">
                      <w:pPr>
                        <w:rPr>
                          <w:lang w:val="es-ES"/>
                        </w:rPr>
                      </w:pPr>
                    </w:p>
                  </w:txbxContent>
                </v:textbox>
              </v:shape>
            </w:pict>
          </mc:Fallback>
        </mc:AlternateContent>
      </w:r>
      <w:r w:rsidR="00117609" w:rsidRPr="004836AF">
        <w:rPr>
          <w:noProof/>
        </w:rPr>
        <w:drawing>
          <wp:inline distT="114300" distB="114300" distL="114300" distR="114300" wp14:anchorId="753CF921" wp14:editId="55A89D01">
            <wp:extent cx="4208780" cy="2801257"/>
            <wp:effectExtent l="0" t="0" r="0" b="571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5"/>
                    <a:srcRect b="37250"/>
                    <a:stretch/>
                  </pic:blipFill>
                  <pic:spPr bwMode="auto">
                    <a:xfrm>
                      <a:off x="0" y="0"/>
                      <a:ext cx="4254297" cy="2831552"/>
                    </a:xfrm>
                    <a:prstGeom prst="rect">
                      <a:avLst/>
                    </a:prstGeom>
                    <a:ln>
                      <a:noFill/>
                    </a:ln>
                    <a:extLst>
                      <a:ext uri="{53640926-AAD7-44D8-BBD7-CCE9431645EC}">
                        <a14:shadowObscured xmlns:a14="http://schemas.microsoft.com/office/drawing/2010/main"/>
                      </a:ext>
                    </a:extLst>
                  </pic:spPr>
                </pic:pic>
              </a:graphicData>
            </a:graphic>
          </wp:inline>
        </w:drawing>
      </w:r>
    </w:p>
    <w:p w14:paraId="4EA7B2C7" w14:textId="77777777" w:rsidR="00D00AEC" w:rsidRDefault="00D00AEC" w:rsidP="004836AF">
      <w:pPr>
        <w:spacing w:before="240" w:after="240" w:line="360" w:lineRule="auto"/>
        <w:jc w:val="both"/>
        <w:rPr>
          <w:b/>
          <w:sz w:val="24"/>
          <w:szCs w:val="24"/>
        </w:rPr>
      </w:pPr>
    </w:p>
    <w:p w14:paraId="2D23A88B" w14:textId="77777777" w:rsidR="00D00AEC" w:rsidRDefault="00D00AEC" w:rsidP="004836AF">
      <w:pPr>
        <w:spacing w:before="240" w:after="240" w:line="360" w:lineRule="auto"/>
        <w:jc w:val="both"/>
        <w:rPr>
          <w:b/>
          <w:sz w:val="24"/>
          <w:szCs w:val="24"/>
        </w:rPr>
      </w:pPr>
    </w:p>
    <w:p w14:paraId="197D7AE1" w14:textId="77777777" w:rsidR="00D00AEC" w:rsidRDefault="00D00AEC" w:rsidP="004836AF">
      <w:pPr>
        <w:spacing w:before="240" w:after="240" w:line="360" w:lineRule="auto"/>
        <w:jc w:val="both"/>
        <w:rPr>
          <w:b/>
          <w:sz w:val="24"/>
          <w:szCs w:val="24"/>
        </w:rPr>
      </w:pPr>
    </w:p>
    <w:p w14:paraId="4901E2B9" w14:textId="498E188C" w:rsidR="005E334C" w:rsidRPr="00706190" w:rsidRDefault="009519A4" w:rsidP="004836AF">
      <w:pPr>
        <w:spacing w:before="240" w:after="240" w:line="360" w:lineRule="auto"/>
        <w:jc w:val="both"/>
        <w:rPr>
          <w:b/>
          <w:sz w:val="24"/>
          <w:szCs w:val="24"/>
        </w:rPr>
      </w:pPr>
      <w:r>
        <w:rPr>
          <w:b/>
          <w:sz w:val="24"/>
          <w:szCs w:val="24"/>
        </w:rPr>
        <w:t xml:space="preserve">3.5 </w:t>
      </w:r>
      <w:r w:rsidR="00706190" w:rsidRPr="00706190">
        <w:rPr>
          <w:b/>
          <w:sz w:val="24"/>
          <w:szCs w:val="24"/>
        </w:rPr>
        <w:t>T</w:t>
      </w:r>
      <w:r w:rsidR="00117609" w:rsidRPr="00706190">
        <w:rPr>
          <w:b/>
          <w:sz w:val="24"/>
          <w:szCs w:val="24"/>
        </w:rPr>
        <w:t>écnica</w:t>
      </w:r>
      <w:r>
        <w:rPr>
          <w:b/>
          <w:sz w:val="24"/>
          <w:szCs w:val="24"/>
        </w:rPr>
        <w:t>s de ROG</w:t>
      </w:r>
    </w:p>
    <w:p w14:paraId="6863ACBF" w14:textId="4A0DD910" w:rsidR="005E334C" w:rsidRPr="004836AF" w:rsidRDefault="00117609" w:rsidP="004836AF">
      <w:pPr>
        <w:spacing w:before="240" w:after="240" w:line="360" w:lineRule="auto"/>
        <w:jc w:val="both"/>
      </w:pPr>
      <w:r w:rsidRPr="004836AF">
        <w:t>Con el fin de aclarar la temática frente a numerosas opciones de tratamiento en ROG, tanto en</w:t>
      </w:r>
      <w:r w:rsidR="00DB10DD">
        <w:t xml:space="preserve"> l</w:t>
      </w:r>
      <w:r w:rsidRPr="004836AF">
        <w:t>a técnica propiamente dicha como en el tipo de injerto particulado o en las membranas  barrera se analizan a continuación diversos artículos. Intentando llegar a definir una técnica con mayor evidencia científica su efectividad.</w:t>
      </w:r>
    </w:p>
    <w:p w14:paraId="263898FA" w14:textId="255E8C63" w:rsidR="00DB10DD" w:rsidRDefault="00117609" w:rsidP="004836AF">
      <w:pPr>
        <w:spacing w:before="240" w:after="240" w:line="360" w:lineRule="auto"/>
        <w:jc w:val="both"/>
        <w:rPr>
          <w:shd w:val="clear" w:color="auto" w:fill="4A86E8"/>
        </w:rPr>
      </w:pPr>
      <w:r w:rsidRPr="004836AF">
        <w:t xml:space="preserve">La mayor dificultad y cantidad de problemas encontrados en el AVR con  ROG en mandíbula, es en lograr el cierre primario. Éste se logra principalmente mediante la liberación del colgajo lingual con desinserción del músculo </w:t>
      </w:r>
      <w:proofErr w:type="spellStart"/>
      <w:r w:rsidRPr="004836AF">
        <w:t>milohioideo</w:t>
      </w:r>
      <w:proofErr w:type="spellEnd"/>
      <w:r w:rsidRPr="004836AF">
        <w:t xml:space="preserve"> o sin ella. La técnica original  descrita por C. </w:t>
      </w:r>
      <w:proofErr w:type="spellStart"/>
      <w:r w:rsidRPr="004836AF">
        <w:t>Tinti</w:t>
      </w:r>
      <w:proofErr w:type="spellEnd"/>
      <w:r w:rsidRPr="004836AF">
        <w:t xml:space="preserve"> consiste en dos incisiones de descarga en forma de palo de hockey en </w:t>
      </w:r>
      <w:proofErr w:type="spellStart"/>
      <w:r w:rsidRPr="004836AF">
        <w:t>mesial</w:t>
      </w:r>
      <w:proofErr w:type="spellEnd"/>
      <w:r w:rsidRPr="004836AF">
        <w:t xml:space="preserve"> del diente </w:t>
      </w:r>
      <w:proofErr w:type="spellStart"/>
      <w:r w:rsidRPr="004836AF">
        <w:t>mesial</w:t>
      </w:r>
      <w:proofErr w:type="spellEnd"/>
      <w:r w:rsidRPr="004836AF">
        <w:t xml:space="preserve"> y distal del diente distal (si lo hubiera) por vestibular. En caso de que no hubiera diente distal se </w:t>
      </w:r>
      <w:proofErr w:type="spellStart"/>
      <w:r w:rsidRPr="004836AF">
        <w:t>extende</w:t>
      </w:r>
      <w:proofErr w:type="spellEnd"/>
      <w:r w:rsidRPr="004836AF">
        <w:t xml:space="preserve"> el colgajo 7 a </w:t>
      </w:r>
      <w:proofErr w:type="spellStart"/>
      <w:r w:rsidRPr="004836AF">
        <w:t>8mm</w:t>
      </w:r>
      <w:proofErr w:type="spellEnd"/>
      <w:r w:rsidRPr="004836AF">
        <w:t xml:space="preserve"> más allá del borde de la membrana propuesta. Incisión </w:t>
      </w:r>
      <w:proofErr w:type="spellStart"/>
      <w:r w:rsidRPr="004836AF">
        <w:t>crestal</w:t>
      </w:r>
      <w:proofErr w:type="spellEnd"/>
      <w:r w:rsidRPr="004836AF">
        <w:t xml:space="preserve"> </w:t>
      </w:r>
      <w:proofErr w:type="spellStart"/>
      <w:r w:rsidRPr="004836AF">
        <w:t>mesio</w:t>
      </w:r>
      <w:proofErr w:type="spellEnd"/>
      <w:r w:rsidRPr="004836AF">
        <w:t xml:space="preserve"> distal dividiendo la mucosa </w:t>
      </w:r>
      <w:proofErr w:type="spellStart"/>
      <w:r w:rsidRPr="004836AF">
        <w:t>queratinizada</w:t>
      </w:r>
      <w:proofErr w:type="spellEnd"/>
      <w:r w:rsidRPr="004836AF">
        <w:t xml:space="preserve">. Por lingual en </w:t>
      </w:r>
      <w:proofErr w:type="spellStart"/>
      <w:r w:rsidRPr="004836AF">
        <w:t>mesial</w:t>
      </w:r>
      <w:proofErr w:type="spellEnd"/>
      <w:r w:rsidR="001767A0">
        <w:t>,</w:t>
      </w:r>
      <w:r w:rsidRPr="004836AF">
        <w:t xml:space="preserve">  la extensión del colgajo llegará </w:t>
      </w:r>
      <w:proofErr w:type="spellStart"/>
      <w:r w:rsidRPr="004836AF">
        <w:t>intrasurcularmente</w:t>
      </w:r>
      <w:proofErr w:type="spellEnd"/>
      <w:r w:rsidRPr="004836AF">
        <w:t xml:space="preserve">  incluyendo al menos tres piezas, con descarga. El colgajo de espesor completo lingual es levantado más allá de la inserción del músculo </w:t>
      </w:r>
      <w:proofErr w:type="spellStart"/>
      <w:r w:rsidRPr="004836AF">
        <w:lastRenderedPageBreak/>
        <w:t>milohioideo</w:t>
      </w:r>
      <w:proofErr w:type="spellEnd"/>
      <w:r w:rsidRPr="004836AF">
        <w:t xml:space="preserve">. De esta manera es posible levantar todo el piso de boca, siempre protegiendo las </w:t>
      </w:r>
      <w:proofErr w:type="spellStart"/>
      <w:r w:rsidRPr="004836AF">
        <w:t>estrucuras</w:t>
      </w:r>
      <w:proofErr w:type="spellEnd"/>
      <w:r w:rsidRPr="004836AF">
        <w:t xml:space="preserve"> anatómicas importantes dentro del músculo como son  la arteria lingual y la glándula sublingual. Realiza una incisión al periostio superficial </w:t>
      </w:r>
      <w:proofErr w:type="spellStart"/>
      <w:r w:rsidRPr="004836AF">
        <w:t>mesio</w:t>
      </w:r>
      <w:proofErr w:type="spellEnd"/>
      <w:r w:rsidRPr="004836AF">
        <w:t xml:space="preserve"> distalmente entre el periostio y las fibras musculares para darle elasticidad al colgajo lingual. En el colgajo vestibular también se realiza una incisión al periostio de descarga a descarga </w:t>
      </w:r>
      <w:proofErr w:type="spellStart"/>
      <w:r w:rsidRPr="004836AF">
        <w:t>mesio</w:t>
      </w:r>
      <w:proofErr w:type="spellEnd"/>
      <w:r w:rsidRPr="004836AF">
        <w:t xml:space="preserve"> distalmente, protegiendo la emergencia del nervio </w:t>
      </w:r>
      <w:proofErr w:type="spellStart"/>
      <w:r w:rsidRPr="004836AF">
        <w:t>mentonialno</w:t>
      </w:r>
      <w:proofErr w:type="spellEnd"/>
      <w:r w:rsidRPr="004836AF">
        <w:t xml:space="preserve"> </w:t>
      </w:r>
      <w:r w:rsidR="00DB10DD">
        <w:fldChar w:fldCharType="begin" w:fldLock="1"/>
      </w:r>
      <w:r>
        <w:instrText>ADDIN CSL_CITATION {"citationItems":[{"id":"ITEM-1","itemData":{"ISSN":"0198-7569","PMID":"10093520","abstract":"The aim of this retrospective study was to evaluate the predictability of obtaining a vertical ridge augmentation around dental implants, strictly following a surgical protocol. Fourteen partially and four fully edentulous patients were treated between July 1993 and November 1995. Forty-eight consecutive implants were placed so that the circumference of the upper part of the cover screw was exposed from 2 to 7 mm. In addition to bone chips, autogenous bone grafts harvested with a bone-filtering aspirator were placed around the exposed threads and completely covered with a barrier membrane. Flaps were coronally displaced to cover the regenerative materials. Three of the 22 membranes became exposed prematurely and were removed immediately. The remaining 19 membranes stayed in place for a 12-month healing period until the second-stage surgery. In these 19 cases, where the membrane remained completely covered by the soft tissue, all of the available space underneath the membrane was filled with regenerative tissue. In eight cases a histologic biopsy was performed. Histologic analysis demonstrated vital bone with regularly formed bone cells; in three cases the most coronal part (approximately 1 mm) of the regenerative tissue was connective tissue, and the remaining tissue was bone. This retrospective analysis showed that when the clinical protocol was accurately followed, the possibility of clinical complication was reduced and the results for achieving vertical ridge augmentation around implants were predictable.","author":[{"dropping-particle":"","family":"Tinti","given":"C","non-dropping-particle":"","parse-names":false,"suffix":""},{"dropping-particle":"","family":"Parma-Benfenati","given":"S","non-dropping-particle":"","parse-names":false,"suffix":""}],"container-title":"The International journal of periodontics &amp; restorative dentistry","id":"ITEM-1","issue":"5","issued":{"date-parts":[["1998"]]},"number-of-pages":"434-43","title":"Vertical ridge augmentation: surgical protocol and retrospective evaluation of 48 consecutively inserted implants.","type":"report","volume":"18"},"uris":["http://www.mendeley.com/documents/?uuid=72506d97-b8e7-38d7-a3b7-adf6e6bc637a"]}],"mendeley":{"formattedCitation":"(30)","plainTextFormattedCitation":"(30)","previouslyFormattedCitation":"(30)"},"properties":{"noteIndex":0},"schema":"https://github.com/citation-style-language/schema/raw/master/csl-citation.json"}</w:instrText>
      </w:r>
      <w:r w:rsidR="00DB10DD">
        <w:fldChar w:fldCharType="separate"/>
      </w:r>
      <w:r w:rsidR="00DB10DD" w:rsidRPr="00DB10DD">
        <w:rPr>
          <w:noProof/>
        </w:rPr>
        <w:t>(30)</w:t>
      </w:r>
      <w:r w:rsidR="00DB10DD">
        <w:fldChar w:fldCharType="end"/>
      </w:r>
    </w:p>
    <w:p w14:paraId="01B39FBD" w14:textId="66B2AC1F" w:rsidR="005E334C" w:rsidRPr="00DB10DD" w:rsidRDefault="00117609" w:rsidP="004836AF">
      <w:pPr>
        <w:spacing w:before="240" w:after="240" w:line="360" w:lineRule="auto"/>
        <w:jc w:val="both"/>
        <w:rPr>
          <w:shd w:val="clear" w:color="auto" w:fill="4A86E8"/>
        </w:rPr>
      </w:pPr>
      <w:r w:rsidRPr="004836AF">
        <w:t xml:space="preserve">Con el fin de disminuir las posibles complicaciones  al levantar el piso de boca </w:t>
      </w:r>
      <w:proofErr w:type="spellStart"/>
      <w:r w:rsidRPr="004836AF">
        <w:t>desinsertando</w:t>
      </w:r>
      <w:proofErr w:type="spellEnd"/>
      <w:r w:rsidRPr="004836AF">
        <w:t xml:space="preserve"> el </w:t>
      </w:r>
      <w:proofErr w:type="spellStart"/>
      <w:r w:rsidRPr="004836AF">
        <w:t>milohioideo</w:t>
      </w:r>
      <w:proofErr w:type="spellEnd"/>
      <w:r w:rsidRPr="004836AF">
        <w:t xml:space="preserve"> extensamente, Ronda plantea en su publicación un estudio de AVR en mandíbula con membrana reforzada de </w:t>
      </w:r>
      <w:proofErr w:type="spellStart"/>
      <w:r w:rsidRPr="004836AF">
        <w:t>PTFEe</w:t>
      </w:r>
      <w:proofErr w:type="spellEnd"/>
      <w:r w:rsidRPr="004836AF">
        <w:t xml:space="preserve"> y una combinación de hueso autólogo y aloinjerto (1:1), presentando una variación en la técnica de liberación  del colgajo lingual. En ella levanta un colgajo de espesor total hasta la línea del músculo </w:t>
      </w:r>
      <w:proofErr w:type="spellStart"/>
      <w:r w:rsidRPr="004836AF">
        <w:t>milohioideo</w:t>
      </w:r>
      <w:proofErr w:type="spellEnd"/>
      <w:r w:rsidRPr="004836AF">
        <w:t xml:space="preserve">. Usando un instrumento romo localiza una banda de tejido conjuntivo continuando el </w:t>
      </w:r>
      <w:proofErr w:type="spellStart"/>
      <w:r w:rsidRPr="004836AF">
        <w:t>epimisio</w:t>
      </w:r>
      <w:proofErr w:type="spellEnd"/>
      <w:r w:rsidRPr="004836AF">
        <w:t xml:space="preserve"> del músculo, que se localiza generalmente en la zona del primer molar y es de 1 a 2 cm de ancho </w:t>
      </w:r>
      <w:proofErr w:type="spellStart"/>
      <w:r w:rsidRPr="004836AF">
        <w:t>mesio</w:t>
      </w:r>
      <w:proofErr w:type="spellEnd"/>
      <w:r w:rsidRPr="004836AF">
        <w:t xml:space="preserve"> distal. El instrumento romo es insertado debajo de la banda de tejido conjuntivo ejerciendo una tracción suave en sentido coronal separando el músculo de la mandíbula en esta zona. Continuando luego con el proceso regenerativo con la colocación simultánea de los implantes.  De los 69 sitios intervenido, a pesar de haber obtenido un cierre primario, constató infección en 4 de ellos, siendo 3  en fumadores. No hubo exposición de la membrana durante los 6 meses de espera. Obteniendo un 100% de TE a los 6 meses. Considera el autor una técnica segura para el avance del colgajo lingual minimizando los riesgos de posibles daños de las estructuras anatómicas del piso de boca</w:t>
      </w:r>
      <w:r>
        <w:t xml:space="preserve"> </w:t>
      </w:r>
      <w:r>
        <w:fldChar w:fldCharType="begin" w:fldLock="1"/>
      </w:r>
      <w:r>
        <w:instrText>ADDIN CSL_CITATION {"citationItems":[{"id":"ITEM-1","itemData":{"ISSN":"1945-3388","PMID":"21845245","abstract":"One of the crucial factors in the success of guided bone regeneration procedures is the correct management of the soft tissues. This allows for stable primary wound closure without tension, which can result in premature exposure of the augmentation area, jeopardizing the final outcome. The use of vertical and periosteal incisions to passivate buccal and lingual flaps in the posterior mandible is often limited by anatomical factors. This paper reports on a series of 69 consecutive cases introducing a novel surgical technique to release and advance the lingual flap coronally in a safe and predictable manner.","author":[{"dropping-particle":"","family":"Ronda","given":"Marco","non-dropping-particle":"","parse-names":false,"suffix":""},{"dropping-particle":"","family":"Stacchi","given":"Claudio","non-dropping-particle":"","parse-names":false,"suffix":""}],"container-title":"The International journal of periodontics &amp; restorative dentistry","id":"ITEM-1","issue":"5","issued":{"date-parts":[["2011"]]},"page":"505-13","title":"Management of a coronally advanced lingual flap in regenerative osseous surgery: a case series introducing a novel technique.","type":"article-journal","volume":"31"},"uris":["http://www.mendeley.com/documents/?uuid=af8da598-2826-4724-b506-c3823a231b6e"]}],"mendeley":{"formattedCitation":"(31)","plainTextFormattedCitation":"(31)","previouslyFormattedCitation":"(31)"},"properties":{"noteIndex":0},"schema":"https://github.com/citation-style-language/schema/raw/master/csl-citation.json"}</w:instrText>
      </w:r>
      <w:r>
        <w:fldChar w:fldCharType="separate"/>
      </w:r>
      <w:r w:rsidRPr="00117609">
        <w:rPr>
          <w:noProof/>
        </w:rPr>
        <w:t>(31)</w:t>
      </w:r>
      <w:r>
        <w:fldChar w:fldCharType="end"/>
      </w:r>
      <w:r w:rsidRPr="004836AF">
        <w:t xml:space="preserve">. </w:t>
      </w:r>
    </w:p>
    <w:p w14:paraId="6303BC06" w14:textId="77777777" w:rsidR="005E334C" w:rsidRPr="004836AF" w:rsidRDefault="00117609" w:rsidP="004836AF">
      <w:pPr>
        <w:spacing w:before="240" w:after="240" w:line="360" w:lineRule="auto"/>
        <w:jc w:val="both"/>
      </w:pPr>
      <w:proofErr w:type="spellStart"/>
      <w:r w:rsidRPr="004836AF">
        <w:t>Urban</w:t>
      </w:r>
      <w:proofErr w:type="spellEnd"/>
      <w:r w:rsidRPr="004836AF">
        <w:t xml:space="preserve"> en 2018 plantea la comparación de la técnica clásica de </w:t>
      </w:r>
      <w:proofErr w:type="spellStart"/>
      <w:r w:rsidRPr="004836AF">
        <w:t>Tinti</w:t>
      </w:r>
      <w:proofErr w:type="spellEnd"/>
      <w:r w:rsidRPr="004836AF">
        <w:t xml:space="preserve"> con otra en la  que no </w:t>
      </w:r>
      <w:proofErr w:type="spellStart"/>
      <w:r w:rsidRPr="004836AF">
        <w:t>desinserta</w:t>
      </w:r>
      <w:proofErr w:type="spellEnd"/>
      <w:r w:rsidRPr="004836AF">
        <w:t xml:space="preserve"> el músculo </w:t>
      </w:r>
      <w:proofErr w:type="spellStart"/>
      <w:r w:rsidRPr="004836AF">
        <w:t>milohioideo</w:t>
      </w:r>
      <w:proofErr w:type="spellEnd"/>
      <w:r w:rsidRPr="004836AF">
        <w:t xml:space="preserve"> de la línea oblicua interna. Realiza un estudio a boca dividida en cadáveres el cual tiene como objetivo evaluar las técnicas en cuanto a la extensión de la liberación del colgajo. </w:t>
      </w:r>
      <w:proofErr w:type="spellStart"/>
      <w:r w:rsidRPr="004836AF">
        <w:t>Hipotetizando</w:t>
      </w:r>
      <w:proofErr w:type="spellEnd"/>
      <w:r w:rsidRPr="004836AF">
        <w:t xml:space="preserve"> que puede ser menos invasiva, segura y con mayor extensión. </w:t>
      </w:r>
    </w:p>
    <w:p w14:paraId="21510C06" w14:textId="77777777" w:rsidR="005E334C" w:rsidRPr="004836AF" w:rsidRDefault="00117609" w:rsidP="004836AF">
      <w:pPr>
        <w:spacing w:before="240" w:after="240" w:line="360" w:lineRule="auto"/>
        <w:jc w:val="both"/>
      </w:pPr>
      <w:r w:rsidRPr="004836AF">
        <w:t xml:space="preserve">Divide a la región lingual de la mandíbula en 3 zonas: I- </w:t>
      </w:r>
      <w:proofErr w:type="spellStart"/>
      <w:r w:rsidRPr="004836AF">
        <w:t>Retromolar</w:t>
      </w:r>
      <w:proofErr w:type="spellEnd"/>
      <w:r w:rsidRPr="004836AF">
        <w:t>, II- Zona de molares y III. Zona de premolares. (Figura 3 y 4)</w:t>
      </w:r>
    </w:p>
    <w:p w14:paraId="3D47047E" w14:textId="6BFC19AD" w:rsidR="005E334C" w:rsidRPr="004836AF" w:rsidRDefault="00117609" w:rsidP="004836AF">
      <w:pPr>
        <w:spacing w:before="240" w:after="240" w:line="360" w:lineRule="auto"/>
        <w:jc w:val="both"/>
      </w:pPr>
      <w:r w:rsidRPr="004836AF">
        <w:t xml:space="preserve">Zona I- Luego  de una incisión </w:t>
      </w:r>
      <w:proofErr w:type="spellStart"/>
      <w:r w:rsidRPr="004836AF">
        <w:t>supracrestal</w:t>
      </w:r>
      <w:proofErr w:type="spellEnd"/>
      <w:r w:rsidRPr="004836AF">
        <w:t xml:space="preserve"> dividiendo  la mucosa </w:t>
      </w:r>
      <w:proofErr w:type="spellStart"/>
      <w:r w:rsidRPr="004836AF">
        <w:t>queratinizada</w:t>
      </w:r>
      <w:proofErr w:type="spellEnd"/>
      <w:r w:rsidRPr="004836AF">
        <w:t xml:space="preserve">, eleva cuidadosamente el colgajo vestibular y lingual. </w:t>
      </w:r>
      <w:r w:rsidR="00AD2362">
        <w:t>D</w:t>
      </w:r>
      <w:r w:rsidRPr="004836AF">
        <w:t xml:space="preserve">ecola suavemente la almohadilla </w:t>
      </w:r>
      <w:proofErr w:type="spellStart"/>
      <w:r w:rsidRPr="004836AF">
        <w:t>retromolar</w:t>
      </w:r>
      <w:proofErr w:type="spellEnd"/>
      <w:r w:rsidRPr="004836AF">
        <w:t xml:space="preserve">  desde el hueso </w:t>
      </w:r>
      <w:proofErr w:type="spellStart"/>
      <w:r w:rsidRPr="004836AF">
        <w:t>traccionando</w:t>
      </w:r>
      <w:proofErr w:type="spellEnd"/>
      <w:r w:rsidRPr="004836AF">
        <w:t xml:space="preserve"> en dirección coronal. Esto permite la incorporación de la almohadilla </w:t>
      </w:r>
      <w:proofErr w:type="spellStart"/>
      <w:r w:rsidRPr="004836AF">
        <w:t>retromolar</w:t>
      </w:r>
      <w:proofErr w:type="spellEnd"/>
      <w:r w:rsidRPr="004836AF">
        <w:t xml:space="preserve"> en el colgajo lingual,  </w:t>
      </w:r>
      <w:r w:rsidRPr="004836AF">
        <w:lastRenderedPageBreak/>
        <w:t xml:space="preserve">maximizando la liberación del colgajo y </w:t>
      </w:r>
      <w:proofErr w:type="spellStart"/>
      <w:r w:rsidRPr="004836AF">
        <w:t>reducendo</w:t>
      </w:r>
      <w:proofErr w:type="spellEnd"/>
      <w:r w:rsidRPr="004836AF">
        <w:t xml:space="preserve"> el riesgo de perforación cuando se trabaja en las zonas II y III.</w:t>
      </w:r>
    </w:p>
    <w:p w14:paraId="68842618" w14:textId="77777777" w:rsidR="005E334C" w:rsidRPr="004836AF" w:rsidRDefault="00117609" w:rsidP="004836AF">
      <w:pPr>
        <w:spacing w:before="240" w:after="240" w:line="360" w:lineRule="auto"/>
        <w:jc w:val="both"/>
      </w:pPr>
      <w:r w:rsidRPr="004836AF">
        <w:t xml:space="preserve">Zona II- Después de la identificación visual de la inserción del músculo </w:t>
      </w:r>
      <w:proofErr w:type="spellStart"/>
      <w:r w:rsidRPr="004836AF">
        <w:t>milohioideo</w:t>
      </w:r>
      <w:proofErr w:type="spellEnd"/>
      <w:r w:rsidRPr="004836AF">
        <w:t xml:space="preserve">, el tejido blando superior al músculo se decola suavemente con instrumentos romos en una dirección lingual. De esta manera, el colgajo se separa de las fibras superiores del músculo de una manera mínimamente invasiva, sin desprendimiento de la inserción muscular al hueso. </w:t>
      </w:r>
    </w:p>
    <w:p w14:paraId="6106A765" w14:textId="4CC889DA" w:rsidR="00117609" w:rsidRDefault="00117609" w:rsidP="004836AF">
      <w:pPr>
        <w:spacing w:before="240" w:after="240" w:line="360" w:lineRule="auto"/>
        <w:jc w:val="both"/>
      </w:pPr>
      <w:r w:rsidRPr="004836AF">
        <w:t xml:space="preserve">Zona III- En la región de premolares es donde el músculo </w:t>
      </w:r>
      <w:proofErr w:type="spellStart"/>
      <w:r w:rsidRPr="004836AF">
        <w:t>milohioideo</w:t>
      </w:r>
      <w:proofErr w:type="spellEnd"/>
      <w:r w:rsidRPr="004836AF">
        <w:t xml:space="preserve"> está unido profundamente en la mandíbula, el </w:t>
      </w:r>
      <w:proofErr w:type="spellStart"/>
      <w:r w:rsidRPr="004836AF">
        <w:t>decolamiento</w:t>
      </w:r>
      <w:proofErr w:type="spellEnd"/>
      <w:r w:rsidRPr="004836AF">
        <w:t xml:space="preserve"> del colgajo no debe ser más profund</w:t>
      </w:r>
      <w:r w:rsidR="00AD2362">
        <w:t>o</w:t>
      </w:r>
      <w:r w:rsidRPr="004836AF">
        <w:t xml:space="preserve"> que en la zona II. Por lo que se realiza una incisión </w:t>
      </w:r>
      <w:proofErr w:type="spellStart"/>
      <w:r w:rsidRPr="004836AF">
        <w:t>perióstica</w:t>
      </w:r>
      <w:proofErr w:type="spellEnd"/>
      <w:r w:rsidRPr="004836AF">
        <w:t xml:space="preserve">  con una lámina 15 perpendicularmente, de la zona III a la zona II. Esta maniobra proporciona flexibilidad a la zona III y ayuda a prevenir las dehiscencias postoperatorias de la herida, que generalmente ocurren si el manejo del colgajo no es adecuado .  </w:t>
      </w:r>
    </w:p>
    <w:p w14:paraId="1D8007EB" w14:textId="02B93EA5" w:rsidR="005E334C" w:rsidRPr="00117609" w:rsidRDefault="00117609" w:rsidP="004836AF">
      <w:pPr>
        <w:spacing w:before="240" w:after="240" w:line="360" w:lineRule="auto"/>
        <w:jc w:val="both"/>
      </w:pPr>
      <w:r w:rsidRPr="004836AF">
        <w:t>La cantidad de liberación vertical del colgajo es medida  en dos momentos en ambos lados en las zonas I, II y III. Se realiza despu</w:t>
      </w:r>
      <w:r w:rsidR="00AD2362">
        <w:t>é</w:t>
      </w:r>
      <w:r w:rsidRPr="004836AF">
        <w:t xml:space="preserve">s de la elevación del colgajo pero antes del avance del mismo y luego. Se utiliza una fuerza de 1 a </w:t>
      </w:r>
      <w:proofErr w:type="spellStart"/>
      <w:r w:rsidRPr="004836AF">
        <w:t>1,2N</w:t>
      </w:r>
      <w:proofErr w:type="spellEnd"/>
      <w:r w:rsidRPr="004836AF">
        <w:t xml:space="preserve"> para dicha elevación. La diferencia fue de 8,273 mm en zona I, 10,09 mm en zona II y de 10,273 mm en zona III. En términos proporcionales al grupo control, la liberación del colgajo lingual fue de 8.2, 2.5 y de 5.3 veces más en zonas I,II y III respectivamente</w:t>
      </w:r>
      <w:r>
        <w:t xml:space="preserve"> </w:t>
      </w:r>
      <w:r>
        <w:fldChar w:fldCharType="begin" w:fldLock="1"/>
      </w:r>
      <w:r>
        <w:instrText>ADDIN CSL_CITATION {"citationItems":[{"id":"ITEM-1","itemData":{"DOI":"10.11607/prd.3227","ISSN":"01987569","abstract":"Vertical ridge augmentation in the posterior mandible is a technique-sensitive procedure that requires adequate anatomical knowledge and precise surgical skills to minimize the risk of complications. One of the most important but also challenging aspects of the surgical technique is proper flap management to allow for passive flap closure and reduce the chances of postoperative complications affecting deep anatomical spaces. This article presents a detailed description of a novel lingual flap advancement technique and its validation via a split-mouth, comparative study using a cadaver model. A total of 12 fresh cadaver heads presenting bilateral posterior mandibular edentulism were selected. Sides were randomized to receive a classic lingual flap release technique (control) or the modified technique presented here, which involves the intentional preservation of the mylohyoid muscle attachment to the mandible. Vertical flap release was measured at three different zones using standard forces. The mean difference between the test and control group in zones I (retromolar pad area), II (middle area), and III (premolar area) was 8.273 ± 1.794 mm (standard error of the mean [SEM] = 0.5409 mm), 10.09 ± 2.948 mm (SEM = 0.8889 mm), and 10.273 ± 2.936 mm (SEM = 0.8851 mm), respectively, reaching very strong statistical significance (P &lt;.0001) in all three zones.","author":[{"dropping-particle":"","family":"Urban","given":"Istvan","non-dropping-particle":"","parse-names":false,"suffix":""},{"dropping-particle":"","family":"Traxler","given":"Hannes","non-dropping-particle":"","parse-names":false,"suffix":""},{"dropping-particle":"","family":"Romero-Bustillos","given":"Miguel","non-dropping-particle":"","parse-names":false,"suffix":""},{"dropping-particle":"","family":"Farkasdi","given":"Sandor","non-dropping-particle":"","parse-names":false,"suffix":""},{"dropping-particle":"","family":"Bartee","given":"Barry","non-dropping-particle":"","parse-names":false,"suffix":""},{"dropping-particle":"","family":"Baksa","given":"Gabor","non-dropping-particle":"","parse-names":false,"suffix":""},{"dropping-particle":"","family":"Avila-Ortiz","given":"Gustavo","non-dropping-particle":"","parse-names":false,"suffix":""}],"container-title":"The International Journal of Periodontics &amp; Restorative Dentistry","id":"ITEM-1","issue":"1","issued":{"date-parts":[["2018"]]},"page":"35-40","title":"Effectiveness of Two Different Lingual Flap Advancing Techniques for Vertical Bone Augmentation in the Posterior Mandible: A Comparative, Split-Mouth Cadaver Study","type":"article-journal","volume":"38"},"uris":["http://www.mendeley.com/documents/?uuid=d906354a-079a-4f9a-bbcd-58a3057d2097"]}],"mendeley":{"formattedCitation":"(32)","plainTextFormattedCitation":"(32)","previouslyFormattedCitation":"(32)"},"properties":{"noteIndex":0},"schema":"https://github.com/citation-style-language/schema/raw/master/csl-citation.json"}</w:instrText>
      </w:r>
      <w:r>
        <w:fldChar w:fldCharType="separate"/>
      </w:r>
      <w:r w:rsidRPr="00117609">
        <w:rPr>
          <w:noProof/>
        </w:rPr>
        <w:t>(32)</w:t>
      </w:r>
      <w:r>
        <w:fldChar w:fldCharType="end"/>
      </w:r>
      <w:r w:rsidRPr="004836AF">
        <w:t xml:space="preserve">. </w:t>
      </w:r>
    </w:p>
    <w:p w14:paraId="53BC8103" w14:textId="10138079" w:rsidR="005E334C" w:rsidRPr="004836AF" w:rsidRDefault="00117609" w:rsidP="004836AF">
      <w:pPr>
        <w:spacing w:before="240" w:after="240" w:line="360" w:lineRule="auto"/>
        <w:jc w:val="both"/>
        <w:rPr>
          <w:color w:val="1D1C1A"/>
        </w:rPr>
      </w:pPr>
      <w:r>
        <w:rPr>
          <w:noProof/>
        </w:rPr>
        <mc:AlternateContent>
          <mc:Choice Requires="wps">
            <w:drawing>
              <wp:anchor distT="0" distB="0" distL="114300" distR="114300" simplePos="0" relativeHeight="251661312" behindDoc="0" locked="0" layoutInCell="1" allowOverlap="1" wp14:anchorId="56A1E58B" wp14:editId="628D76F2">
                <wp:simplePos x="0" y="0"/>
                <wp:positionH relativeFrom="column">
                  <wp:posOffset>35202</wp:posOffset>
                </wp:positionH>
                <wp:positionV relativeFrom="paragraph">
                  <wp:posOffset>2988302</wp:posOffset>
                </wp:positionV>
                <wp:extent cx="4482054" cy="521713"/>
                <wp:effectExtent l="0" t="0" r="13970" b="12065"/>
                <wp:wrapNone/>
                <wp:docPr id="9" name="Cuadro de texto 9"/>
                <wp:cNvGraphicFramePr/>
                <a:graphic xmlns:a="http://schemas.openxmlformats.org/drawingml/2006/main">
                  <a:graphicData uri="http://schemas.microsoft.com/office/word/2010/wordprocessingShape">
                    <wps:wsp>
                      <wps:cNvSpPr txBox="1"/>
                      <wps:spPr>
                        <a:xfrm>
                          <a:off x="0" y="0"/>
                          <a:ext cx="4482054" cy="521713"/>
                        </a:xfrm>
                        <a:prstGeom prst="rect">
                          <a:avLst/>
                        </a:prstGeom>
                        <a:solidFill>
                          <a:schemeClr val="lt1"/>
                        </a:solidFill>
                        <a:ln w="6350">
                          <a:solidFill>
                            <a:prstClr val="black"/>
                          </a:solidFill>
                        </a:ln>
                      </wps:spPr>
                      <wps:txbx>
                        <w:txbxContent>
                          <w:p w14:paraId="0C7F470C" w14:textId="23B15696" w:rsidR="004B358B" w:rsidRPr="00117609" w:rsidRDefault="004B358B" w:rsidP="00117609">
                            <w:pPr>
                              <w:rPr>
                                <w:lang w:val="es-ES"/>
                              </w:rPr>
                            </w:pPr>
                            <w:r>
                              <w:rPr>
                                <w:lang w:val="es-ES"/>
                              </w:rPr>
                              <w:t xml:space="preserve">Figura 2 (32) Inserción mandibular del músculo </w:t>
                            </w:r>
                            <w:r>
                              <w:rPr>
                                <w:lang w:val="es-ES"/>
                              </w:rPr>
                              <w:t>milohioideo en sus tres 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E58B" id="Cuadro de texto 9" o:spid="_x0000_s1027" type="#_x0000_t202" style="position:absolute;left:0;text-align:left;margin-left:2.75pt;margin-top:235.3pt;width:352.9pt;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" fillcolor="white [3201]" strokeweight=".5pt">
                <v:textbox>
                  <w:txbxContent>
                    <w:p w14:paraId="0C7F470C" w14:textId="23B15696" w:rsidR="004B358B" w:rsidRPr="00117609" w:rsidRDefault="004B358B" w:rsidP="00117609">
                      <w:pPr>
                        <w:rPr>
                          <w:lang w:val="es-ES"/>
                        </w:rPr>
                      </w:pPr>
                      <w:r>
                        <w:rPr>
                          <w:lang w:val="es-ES"/>
                        </w:rPr>
                        <w:t xml:space="preserve">Figura 2 (32) Inserción mandibular del músculo </w:t>
                      </w:r>
                      <w:proofErr w:type="spellStart"/>
                      <w:r>
                        <w:rPr>
                          <w:lang w:val="es-ES"/>
                        </w:rPr>
                        <w:t>milohioideo</w:t>
                      </w:r>
                      <w:proofErr w:type="spellEnd"/>
                      <w:r>
                        <w:rPr>
                          <w:lang w:val="es-ES"/>
                        </w:rPr>
                        <w:t xml:space="preserve"> en sus tres zonas.</w:t>
                      </w:r>
                    </w:p>
                  </w:txbxContent>
                </v:textbox>
              </v:shape>
            </w:pict>
          </mc:Fallback>
        </mc:AlternateContent>
      </w:r>
      <w:r w:rsidRPr="004836AF">
        <w:rPr>
          <w:noProof/>
          <w:color w:val="1D1C1A"/>
        </w:rPr>
        <w:drawing>
          <wp:inline distT="114300" distB="114300" distL="114300" distR="114300" wp14:anchorId="197AA112" wp14:editId="1081F959">
            <wp:extent cx="4572000" cy="29432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572000" cy="2943225"/>
                    </a:xfrm>
                    <a:prstGeom prst="rect">
                      <a:avLst/>
                    </a:prstGeom>
                    <a:ln/>
                  </pic:spPr>
                </pic:pic>
              </a:graphicData>
            </a:graphic>
          </wp:inline>
        </w:drawing>
      </w:r>
    </w:p>
    <w:p w14:paraId="072E0B97" w14:textId="67B118DB" w:rsidR="00117609" w:rsidRDefault="00117609" w:rsidP="004836AF">
      <w:pPr>
        <w:spacing w:before="240" w:after="240" w:line="360" w:lineRule="auto"/>
        <w:jc w:val="both"/>
      </w:pPr>
    </w:p>
    <w:p w14:paraId="01AE243D" w14:textId="6EDEDE40" w:rsidR="005E334C" w:rsidRPr="004836AF" w:rsidRDefault="00117609" w:rsidP="004836AF">
      <w:pPr>
        <w:spacing w:before="240" w:after="240" w:line="360" w:lineRule="auto"/>
        <w:jc w:val="both"/>
      </w:pPr>
      <w:r w:rsidRPr="004836AF">
        <w:lastRenderedPageBreak/>
        <w:t xml:space="preserve">Luego de la elevación del colgajo se prepara el lecho receptor realizando perforaciones en la cortical con una fresa redonda. Según los autores los tornillos a modo de soporte de la estructura cuando se utilizan membranas de PTFE con refuerzo de titanio no son necesarios. Se selecciona y recorta una membrana de tamaño apropiado para que cubra totalmente el volumen del injerto y los bordes no entren en contacto con los dientes naturales. La membrana debe quedar apoyada al menos en 2 mm del hueso adyacente.  Se estabiliza primero en lingual con tachas  o tornillos de titanio de 3 mm en dos puntos. Se coloca el material de injerto y la membrana se pliega y se fija de la misma manera. Debido a la posibilidad de lesión nerviosa, hemorragia extensa y daño tisular que pueden afectar la vascularización del colgajo,  recomienda realizar una incisión al periostio suave sin invadir el tejido conjuntivo debajo de él. El nervio </w:t>
      </w:r>
      <w:proofErr w:type="spellStart"/>
      <w:r w:rsidRPr="004836AF">
        <w:t>mentoniano</w:t>
      </w:r>
      <w:proofErr w:type="spellEnd"/>
      <w:r w:rsidRPr="004836AF">
        <w:t xml:space="preserve"> debe ser protegido, particularmente en atrofias severas donde la incisión vertical debe hacerse más apicalmente. El colgajo debe suturarse en dos capas. La primera capa se cierra con suturas tipo colchonero horizontales a 5 mm de la línea de incisión, y luego se utilizan suturas simples individuales para cerrar los bordes del colgajo. Este contacto íntimo entre tejido conectivo y tejido conectivo proporciona una barrera que evita la exposición de la membrana . Luego, las incisiones verticales se cierran con suturas simples (Figura</w:t>
      </w:r>
      <w:r>
        <w:t>s</w:t>
      </w:r>
      <w:r w:rsidRPr="004836AF">
        <w:t xml:space="preserve"> </w:t>
      </w:r>
      <w:r>
        <w:t xml:space="preserve">3 </w:t>
      </w:r>
      <w:r w:rsidR="00C36FA4">
        <w:t>y 4)</w:t>
      </w:r>
      <w:r>
        <w:fldChar w:fldCharType="begin" w:fldLock="1"/>
      </w:r>
      <w:r w:rsidR="00C36FA4">
        <w:instrText>ADDIN CSL_CITATION {"citationItems":[{"id":"ITEM-1","itemData":{"DOI":"10.11607/prd.3200","ISSN":"01987569","abstract":"© 2017 by Quintessence Publishing Co Inc. Guided bone regeneration has become more predictable due to advances in material sciences. Nevertheless, vertical ridge augmentation (VRA) remains a potential challenge due to the complexity of soft tissue management. This becomes more complicated in the posterior atrophic mandible due to limited access and poorer blood supply. As such, a number of critical elements must be taken into consideration in treatment planning. Anatomical structures potentially jeopardize intraoperative adverse events such as bleeding or neurosensory disturbances. The attachment of the mylohyoid often compromises lingual flap advancement. This technical review summarizes the critical factors to be assessed prior to VRA for the posterior mandible and provides a sequenced approach to bone grafting and to attaining a tension-free flap for successful bone regeneration and long-term peri-implant tissue stability.","author":[{"dropping-particle":"","family":"Urban","given":"Istvan","non-dropping-particle":"","parse-names":false,"suffix":""},{"dropping-particle":"","family":"Monje","given":"Alberto","non-dropping-particle":"","parse-names":false,"suffix":""},{"dropping-particle":"","family":"Lozada","given":"Jaime","non-dropping-particle":"","parse-names":false,"suffix":""},{"dropping-particle":"","family":"Wang","given":"Hom-Lay","non-dropping-particle":"","parse-names":false,"suffix":""}],"container-title":"The International Journal of Periodontics &amp; Restorative Dentistry","id":"ITEM-1","issue":"5","issued":{"date-parts":[["2017","8","16"]]},"page":"639-645","publisher":"Quintessence Publishing","title":"Principles for Vertical Ridge Augmentation in the Atrophic Posterior Mandible: A Technical Review","type":"article-journal","volume":"37"},"uris":["http://www.mendeley.com/documents/?uuid=5ce6de3f-2d37-3279-b848-529f78f83bf8"]}],"mendeley":{"formattedCitation":"(16)","plainTextFormattedCitation":"(16)","previouslyFormattedCitation":"(16)"},"properties":{"noteIndex":0},"schema":"https://github.com/citation-style-language/schema/raw/master/csl-citation.json"}</w:instrText>
      </w:r>
      <w:r>
        <w:fldChar w:fldCharType="separate"/>
      </w:r>
      <w:r w:rsidRPr="00117609">
        <w:rPr>
          <w:noProof/>
        </w:rPr>
        <w:t>(16)</w:t>
      </w:r>
      <w:r>
        <w:fldChar w:fldCharType="end"/>
      </w:r>
      <w:r w:rsidRPr="004836AF">
        <w:t xml:space="preserve">. </w:t>
      </w:r>
    </w:p>
    <w:p w14:paraId="10B0EAF7" w14:textId="38AA4583" w:rsidR="005E334C" w:rsidRPr="004836AF" w:rsidRDefault="00117609" w:rsidP="004836AF">
      <w:pPr>
        <w:spacing w:before="240" w:after="240" w:line="360" w:lineRule="auto"/>
        <w:jc w:val="both"/>
      </w:pPr>
      <w:r>
        <w:rPr>
          <w:noProof/>
        </w:rPr>
        <mc:AlternateContent>
          <mc:Choice Requires="wps">
            <w:drawing>
              <wp:anchor distT="0" distB="0" distL="114300" distR="114300" simplePos="0" relativeHeight="251662336" behindDoc="0" locked="0" layoutInCell="1" allowOverlap="1" wp14:anchorId="77397AAB" wp14:editId="735ED2BD">
                <wp:simplePos x="0" y="0"/>
                <wp:positionH relativeFrom="column">
                  <wp:posOffset>6065</wp:posOffset>
                </wp:positionH>
                <wp:positionV relativeFrom="paragraph">
                  <wp:posOffset>1959416</wp:posOffset>
                </wp:positionV>
                <wp:extent cx="5302444" cy="466530"/>
                <wp:effectExtent l="0" t="0" r="19050" b="16510"/>
                <wp:wrapNone/>
                <wp:docPr id="10" name="Cuadro de texto 10"/>
                <wp:cNvGraphicFramePr/>
                <a:graphic xmlns:a="http://schemas.openxmlformats.org/drawingml/2006/main">
                  <a:graphicData uri="http://schemas.microsoft.com/office/word/2010/wordprocessingShape">
                    <wps:wsp>
                      <wps:cNvSpPr txBox="1"/>
                      <wps:spPr>
                        <a:xfrm>
                          <a:off x="0" y="0"/>
                          <a:ext cx="5302444" cy="466530"/>
                        </a:xfrm>
                        <a:prstGeom prst="rect">
                          <a:avLst/>
                        </a:prstGeom>
                        <a:solidFill>
                          <a:schemeClr val="lt1"/>
                        </a:solidFill>
                        <a:ln w="6350">
                          <a:solidFill>
                            <a:prstClr val="black"/>
                          </a:solidFill>
                        </a:ln>
                      </wps:spPr>
                      <wps:txbx>
                        <w:txbxContent>
                          <w:p w14:paraId="790989A3" w14:textId="2D827EAE" w:rsidR="004B358B" w:rsidRPr="00117609" w:rsidRDefault="004B358B">
                            <w:pPr>
                              <w:rPr>
                                <w:lang w:val="es-ES"/>
                              </w:rPr>
                            </w:pPr>
                            <w:r>
                              <w:rPr>
                                <w:lang w:val="es-ES"/>
                              </w:rPr>
                              <w:t xml:space="preserve">Figura 3 (izquierda)Técnica de fijación de la malla de PTFE .4 (derecha)  Cierre de la herida con suturas tipo colchonero y suturas simples (16)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97AAB" id="Cuadro de texto 10" o:spid="_x0000_s1028" type="#_x0000_t202" style="position:absolute;left:0;text-align:left;margin-left:.5pt;margin-top:154.3pt;width:41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" fillcolor="white [3201]" strokeweight=".5pt">
                <v:textbox>
                  <w:txbxContent>
                    <w:p w14:paraId="790989A3" w14:textId="2D827EAE" w:rsidR="004B358B" w:rsidRPr="00117609" w:rsidRDefault="004B358B">
                      <w:pPr>
                        <w:rPr>
                          <w:lang w:val="es-ES"/>
                        </w:rPr>
                      </w:pPr>
                      <w:r>
                        <w:rPr>
                          <w:lang w:val="es-ES"/>
                        </w:rPr>
                        <w:t xml:space="preserve">Figura 3 (izquierda)Técnica de fijación de la malla de PTFE .4 (derecha)  Cierre de la herida con suturas tipo colchonero y suturas simples (16) </w:t>
                      </w:r>
                    </w:p>
                  </w:txbxContent>
                </v:textbox>
              </v:shape>
            </w:pict>
          </mc:Fallback>
        </mc:AlternateContent>
      </w:r>
      <w:r w:rsidRPr="004836AF">
        <w:rPr>
          <w:noProof/>
        </w:rPr>
        <w:drawing>
          <wp:inline distT="114300" distB="114300" distL="114300" distR="114300" wp14:anchorId="5E2E8C55" wp14:editId="4D89F848">
            <wp:extent cx="5312229" cy="1828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317396" cy="1830579"/>
                    </a:xfrm>
                    <a:prstGeom prst="rect">
                      <a:avLst/>
                    </a:prstGeom>
                    <a:ln/>
                  </pic:spPr>
                </pic:pic>
              </a:graphicData>
            </a:graphic>
          </wp:inline>
        </w:drawing>
      </w:r>
    </w:p>
    <w:p w14:paraId="6E32BF0D" w14:textId="77777777" w:rsidR="005E334C" w:rsidRPr="004836AF" w:rsidRDefault="005E334C" w:rsidP="004836AF">
      <w:pPr>
        <w:spacing w:before="240" w:after="240" w:line="360" w:lineRule="auto"/>
        <w:jc w:val="both"/>
      </w:pPr>
    </w:p>
    <w:p w14:paraId="2BD844D8" w14:textId="77777777" w:rsidR="005E334C" w:rsidRPr="004836AF" w:rsidRDefault="005E334C" w:rsidP="004836AF">
      <w:pPr>
        <w:spacing w:before="240" w:after="240" w:line="360" w:lineRule="auto"/>
        <w:jc w:val="both"/>
        <w:rPr>
          <w:highlight w:val="yellow"/>
        </w:rPr>
      </w:pPr>
    </w:p>
    <w:p w14:paraId="309D887E" w14:textId="7D01CA4A" w:rsidR="00C36FA4" w:rsidRDefault="00117609" w:rsidP="004836AF">
      <w:pPr>
        <w:spacing w:before="240" w:after="240" w:line="360" w:lineRule="auto"/>
        <w:jc w:val="both"/>
      </w:pPr>
      <w:r w:rsidRPr="004836AF">
        <w:t xml:space="preserve">En un estudio a largo plazo realizado utilizando la técnica de ROG, </w:t>
      </w:r>
      <w:proofErr w:type="spellStart"/>
      <w:r w:rsidRPr="004836AF">
        <w:t>Simion</w:t>
      </w:r>
      <w:proofErr w:type="spellEnd"/>
      <w:r w:rsidRPr="004836AF">
        <w:t xml:space="preserve"> en 2001 evaluó la ganancia ósea con tres situaciones diferentes con un seguimiento de 1 a 5 años.  En el grupo A al momento de colocar el implante deja el defecto con solamente el coágulo y lo cubre con una membrana de PTFE-e reforzada con titanio (6 pacientes). En el grupo B coloca el implante junto a un aloinjerto particulado y la </w:t>
      </w:r>
      <w:r w:rsidRPr="004836AF">
        <w:lastRenderedPageBreak/>
        <w:t xml:space="preserve">misma membrana (11 pacientes). El grupo C es rellenado con xenoinjerto particulado y  hueso autólogo particulado cubierto por una membrana de PTFE-e reforzada (27 pacientes). En los grupos A y B una ganancia ósea superior a </w:t>
      </w:r>
      <w:proofErr w:type="spellStart"/>
      <w:r w:rsidRPr="004836AF">
        <w:t>4mm</w:t>
      </w:r>
      <w:proofErr w:type="spellEnd"/>
      <w:r w:rsidRPr="004836AF">
        <w:t xml:space="preserve"> no pudo ser alcanzada, mientras que en el grupo C se lograron hasta </w:t>
      </w:r>
      <w:proofErr w:type="spellStart"/>
      <w:r w:rsidRPr="004836AF">
        <w:t>8mm</w:t>
      </w:r>
      <w:proofErr w:type="spellEnd"/>
      <w:r w:rsidRPr="004836AF">
        <w:t>. La tasa de sobrevida fue similar a la de implantes colocados en hueso nativo. La pérdida ósea en los controles subsiguientes no fue estadísticamente significativa entre los grupos</w:t>
      </w:r>
      <w:r w:rsidR="00C36FA4">
        <w:t xml:space="preserve"> </w:t>
      </w:r>
      <w:r w:rsidR="00C36FA4">
        <w:fldChar w:fldCharType="begin" w:fldLock="1"/>
      </w:r>
      <w:r w:rsidR="00C36FA4">
        <w:instrText>ADDIN CSL_CITATION {"citationItems":[{"id":"ITEM-1","itemData":{"DOI":"10.1034/j.1600-0501.2001.012001035.x","ISSN":"09057161","abstract":"The purpose of the present study was to evaluate retrospectively, after 1 to 5 years of prosthetic loading, 123 implants consecutively inserted at the time of vertical ridge augmentation in 4 clinics. At the time of the implant surgery, 3 different techniques were used: the implants were allowed to protrude 2 to 7 mm from the bone level and a titanium reinforced expanded-polytetrafluoroethylene (e-PTFE) membrane was positioned to protect either the blood clot (Group A, 6 patients), or an allograft (Group B, 11 patients), or an autograft (Group C, 32 patients). The annual implant evaluation was carried out according to a standard protocol utilized for long term studies with endosseous implants inserted in non-regenerated bone. Only 1 implant failed immediately after the second stage surgery and after 1 month it was substituted with a new implant. All the remaining implants appeared clinically stable, no signs of radiolucency were present at the bone-implant interface, therefore, they could be defined successfully osseointegrated. The radiographic analysis showed stable bone crest levels with a mean bone loss of 1.35 mm for the Group A, of 1.87 mm for the Group B and of 1.71 for the Group C during the period of observation. Only 2 implants demonstrated an increased crestal bone loss of 3.5 mm and 4 mm respectively at the first year examination. On the base of these results, we can confirm previous long term studies on regenerated bone and we can conclude that vertically augmented bone with GBR techniques responds to implant placement like native, non-regenerated bone.","author":[{"dropping-particle":"","family":"Simion","given":"Massimo","non-dropping-particle":"","parse-names":false,"suffix":""},{"dropping-particle":"","family":"Jovanovic","given":"Sascha A.","non-dropping-particle":"","parse-names":false,"suffix":""},{"dropping-particle":"","family":"Tinti","given":"Carlo","non-dropping-particle":"","parse-names":false,"suffix":""},{"dropping-particle":"","family":"Benfenati","given":"Stefano Parma","non-dropping-particle":"","parse-names":false,"suffix":""}],"container-title":"Clinical Oral Implants Research","id":"ITEM-1","issue":"1","issued":{"date-parts":[["2001"]]},"number-of-pages":"35-45","title":"Long-term evaluation of osseointegrated implants inserted at the time or after vertical ridge augmentation: A retrospective study on I23 implants with I-5 year follow-up","type":"report","volume":"12"},"uris":["http://www.mendeley.com/documents/?uuid=9346a926-3878-3f58-8b13-e8a60b2f5aea"]}],"mendeley":{"formattedCitation":"(33)","plainTextFormattedCitation":"(33)","previouslyFormattedCitation":"(33)"},"properties":{"noteIndex":0},"schema":"https://github.com/citation-style-language/schema/raw/master/csl-citation.json"}</w:instrText>
      </w:r>
      <w:r w:rsidR="00C36FA4">
        <w:fldChar w:fldCharType="separate"/>
      </w:r>
      <w:r w:rsidR="00C36FA4" w:rsidRPr="00C36FA4">
        <w:rPr>
          <w:noProof/>
        </w:rPr>
        <w:t>(33)</w:t>
      </w:r>
      <w:r w:rsidR="00C36FA4">
        <w:fldChar w:fldCharType="end"/>
      </w:r>
      <w:r w:rsidRPr="004836AF">
        <w:t>.</w:t>
      </w:r>
      <w:r w:rsidR="00C36FA4">
        <w:t xml:space="preserve"> </w:t>
      </w:r>
      <w:r w:rsidRPr="004836AF">
        <w:t xml:space="preserve"> </w:t>
      </w:r>
    </w:p>
    <w:p w14:paraId="5C4BA049" w14:textId="1028EC29" w:rsidR="00C36FA4" w:rsidRDefault="00117609" w:rsidP="004836AF">
      <w:pPr>
        <w:spacing w:before="240" w:after="240" w:line="360" w:lineRule="auto"/>
        <w:jc w:val="both"/>
      </w:pPr>
      <w:r w:rsidRPr="004836AF">
        <w:t xml:space="preserve">En otro estudio retrospectivo de serie de casos clínicos en el que utilizando la técnica con membrana de </w:t>
      </w:r>
      <w:proofErr w:type="spellStart"/>
      <w:r w:rsidRPr="004836AF">
        <w:t>PTFEe</w:t>
      </w:r>
      <w:proofErr w:type="spellEnd"/>
      <w:r w:rsidRPr="004836AF">
        <w:t xml:space="preserve"> y hueso autólogo con seguimiento a 6 años, se compara</w:t>
      </w:r>
      <w:r w:rsidR="00C36FA4">
        <w:t>ron</w:t>
      </w:r>
      <w:r w:rsidRPr="004836AF">
        <w:t xml:space="preserve"> los resultados cuando el espacio a regenerar correspondía a una pieza o más de una. Los implantes fueron colocados a los 9 meses. En ambos casos encontraron que  se había formado tanto hueso como el espacio creado por la membrana. Con una ganancia ósea promedio de 5,5 mm ± 2,3 </w:t>
      </w:r>
      <w:proofErr w:type="spellStart"/>
      <w:r w:rsidRPr="004836AF">
        <w:t>mm.</w:t>
      </w:r>
      <w:proofErr w:type="spellEnd"/>
      <w:r w:rsidRPr="004836AF">
        <w:t xml:space="preserve">  Al año de instaladas las coronas el remodelado óseo fue de </w:t>
      </w:r>
      <w:proofErr w:type="spellStart"/>
      <w:r w:rsidRPr="004836AF">
        <w:t>1,01mm</w:t>
      </w:r>
      <w:proofErr w:type="spellEnd"/>
      <w:r w:rsidRPr="004836AF">
        <w:t xml:space="preserve"> ± </w:t>
      </w:r>
      <w:proofErr w:type="spellStart"/>
      <w:r w:rsidRPr="004836AF">
        <w:t>0,57mm</w:t>
      </w:r>
      <w:proofErr w:type="spellEnd"/>
      <w:r w:rsidRPr="004836AF">
        <w:t xml:space="preserve"> manteniéndose estable en los siguientes controles radiográficos. La tasa de éxito acumulado al año fue de 100% y a los 6 años de 94.7%. La tasa de complicaciones correspondió 2,78%. Concluyendo que: 1- el AVR  con membrana de </w:t>
      </w:r>
      <w:proofErr w:type="spellStart"/>
      <w:r w:rsidRPr="004836AF">
        <w:t>PTFEe</w:t>
      </w:r>
      <w:proofErr w:type="spellEnd"/>
      <w:r w:rsidRPr="004836AF">
        <w:t xml:space="preserve"> y hueso autólogo es segura,  predecible y con mínimas complicaciones. 2- El la tasa acumulada de éxito de los implantes colocados en hueso regenerado con la técnica de ROG parece ser similar a la de los implantes colocados en hueso nativo bajo condiciones de carga sin importar el sitio de donde se haya tomado el injerto, el tamaño del defecto o el sitio del mismo</w:t>
      </w:r>
      <w:r w:rsidR="00C36FA4">
        <w:t xml:space="preserve"> </w:t>
      </w:r>
      <w:r w:rsidR="00C36FA4">
        <w:fldChar w:fldCharType="begin" w:fldLock="1"/>
      </w:r>
      <w:r w:rsidR="00C36FA4">
        <w:instrText>ADDIN CSL_CITATION {"citationItems":[{"id":"ITEM-1","itemData":{"abstract":"Purpose: The aims of the current study were to: (1) evaluate the results of vertical guided bone regen-eration (GBR) with particulate autogenous bone grafts, (2) determine clinically and radiographically the success and survival rates of 82 implants placed in such surgical sites after prosthetic loading for 12 to 72 months, and (3) compare defects that were treated simultaneously with sinus augmentation and vertical GBR to other areas of the jaw treated with vertical GBR only. Materials and Methods: Eighty-two implants were inserted in 35 patients with 36 three-dimensional vertical bone defects. The patients were divided into three groups: single missing teeth (group A), multiple missing teeth (group B), and vertical defects in the posterior maxilla only (group C). All group C subjects were treated simultaneously with sinus and vertical augmentations. All patients were treated with vertical ridge augmentation utilizing titanium-reinforced polytetrafluoroethylene (e-PTFE) membranes and particulated auto-grafts. After removal of the e-PTFE membrane, all sites received a collagen membrane. Results: At membrane removal, mean vertical augmentation was 5.5 mm (± 2.29 mm). Mean combined crestal remodeling was 1.01 mm (± 0.57 mm) at 12 months, which remained stable through the 6-year follow-up period. There were no statistically significant differences between the three groups in mean marginal bone remodeling. One defect had a bone graft complication (2.78%, 95% CI: 0.00%, 8.15%). The overall implant survival rate was 100% with a cumulative success rate of 94.7%. Conclusions: (1) Vertical augmentation with e-PTFE membranes and particulated autografts is a safe and predictable treatment; (2) success and survival rates of implants placed in vertically augmented bone with the GBR technique appear similar to implants placed in native bone under loading conditions; (3) success and failure rates of implants placed into bone regenerated simultanously with sinus and vertical augmentation techniques compare favorably to those requiring only vertical augmentation. INT J ORAL MAXILLOFAC IMPLANTS 2009;24:502-510","author":[{"dropping-particle":"","family":"Urban","given":"Istvan A","non-dropping-particle":"","parse-names":false,"suffix":""},{"dropping-particle":"","family":"Jovanovic","given":"Sascha A","non-dropping-particle":"","parse-names":false,"suffix":""},{"dropping-particle":"","family":"Lozada","given":"Jaime L","non-dropping-particle":"","parse-names":false,"suffix":""}],"id":"ITEM-1","issued":{"date-parts":[["2009"]]},"number-of-pages":"502","title":"Vertical Ridge Augmentation Using Guided Bone Regeneration (GBR) in Three Clinical Scenarios Prior to Implant Placement: A Retrospective Study of 35 Patients 12 to 72 Months After Loading","type":"report","volume":"24"},"uris":["http://www.mendeley.com/documents/?uuid=5fcdd584-3aef-3c3b-b161-83f50964c5d2"]}],"mendeley":{"formattedCitation":"(34)","plainTextFormattedCitation":"(34)","previouslyFormattedCitation":"(34)"},"properties":{"noteIndex":0},"schema":"https://github.com/citation-style-language/schema/raw/master/csl-citation.json"}</w:instrText>
      </w:r>
      <w:r w:rsidR="00C36FA4">
        <w:fldChar w:fldCharType="separate"/>
      </w:r>
      <w:r w:rsidR="00C36FA4" w:rsidRPr="00C36FA4">
        <w:rPr>
          <w:noProof/>
        </w:rPr>
        <w:t>(34)</w:t>
      </w:r>
      <w:r w:rsidR="00C36FA4">
        <w:fldChar w:fldCharType="end"/>
      </w:r>
      <w:r w:rsidRPr="004836AF">
        <w:t>.</w:t>
      </w:r>
    </w:p>
    <w:p w14:paraId="7360DC80" w14:textId="57A04211" w:rsidR="005E334C" w:rsidRPr="004836AF" w:rsidRDefault="00117609" w:rsidP="004836AF">
      <w:pPr>
        <w:spacing w:before="240" w:after="240" w:line="360" w:lineRule="auto"/>
        <w:jc w:val="both"/>
      </w:pPr>
      <w:r w:rsidRPr="004836AF">
        <w:t xml:space="preserve">Fontana realizó un estudio clínico </w:t>
      </w:r>
      <w:r w:rsidR="00C36FA4">
        <w:t xml:space="preserve">controlado </w:t>
      </w:r>
      <w:r w:rsidRPr="004836AF">
        <w:t xml:space="preserve">aleatorizado (ECCA) a boca dividida en el que  planteó la comparación clínica e </w:t>
      </w:r>
      <w:proofErr w:type="spellStart"/>
      <w:r w:rsidRPr="004836AF">
        <w:t>histomorfométrica</w:t>
      </w:r>
      <w:proofErr w:type="spellEnd"/>
      <w:r w:rsidRPr="004836AF">
        <w:t xml:space="preserve"> de una ma</w:t>
      </w:r>
      <w:r w:rsidR="00AD2362">
        <w:t>triz</w:t>
      </w:r>
      <w:r w:rsidRPr="004836AF">
        <w:t xml:space="preserve"> de hueso alogénico (grupo de estudio) con el injerto autólogo (grupo control) para el AVR usando la técnica de ROG  con membrana de PTFE-e reforzada con titanio en mandíbula parcialmente desdentada. La colocación del implante fue diferida en todos los casos. La ganancia en altura fue similar y en ambos grupos estable. Debido al bajo número de la muestra (10 sitios, 25 implantes) no se pudieron establecer diferencias significativas. En cuanto al resultado del análisis de la histomorfometría a los 6 meses, un promedio de 32,98% de hueso mineralizado se obtuvo en el grupo de estudio frente a un 34,13% en el grupo control.  Tanto partículas cortico esponjosas del aloinjerto como del hueso autólogo injertado eran todavía visibles. Aparecían incluidas y rodeadas de hueso neo formado, con  intensa actividad </w:t>
      </w:r>
      <w:proofErr w:type="spellStart"/>
      <w:r w:rsidRPr="004836AF">
        <w:t>osteoblástica</w:t>
      </w:r>
      <w:proofErr w:type="spellEnd"/>
      <w:r w:rsidR="00C36FA4">
        <w:t xml:space="preserve"> </w:t>
      </w:r>
      <w:r w:rsidR="00C36FA4">
        <w:fldChar w:fldCharType="begin" w:fldLock="1"/>
      </w:r>
      <w:r w:rsidR="00C36FA4">
        <w:instrText>ADDIN CSL_CITATION {"citationItems":[{"id":"ITEM-1","itemData":{"abstract":"Purpose: To compare clinically and histologically an allogeneic bone matrix to autogenous bone chips in the vertical ridge augmentation technique using titanium-reinforced e-PTFE membranes. Materials and Methods: The study protocol was designed to include patients with bilateral posterior mandibular partial edentulism. Patients were treated with a split-mouth design approach: each side was randomly assigned to the test group (titanium-reinforced e-PTFE membrane and allogeneic bone matrix) or to the control group (titanium-reinforced e-PTFE membrane and autogenous bone chips). Different clinical parameters including the amount of vertically regenerated bone (DSB) and biologic complications were recorded. Histomorphometric analysis and the bone-implant contact percentage were performed. Results: Five female patients were enrolled in the study. Ten edentulous sites were vertically augmented and 25 implants were inserted (13 test group, 12 control group) with a staged approach. In the test group no membrane was exposed. The mean bone regeneration was 4.70 mm (SD 0.48 mm). All 13 implants appeared clinically stable. In the control group, 1 membrane was exposed after 2 months. The mean crestal bone regeneration was 4.10 mm (SD 0.88 mm). All 12 implants were stable at the abutment connection. Nine biopsy specimens from the regenerated areas were evaluated. Vertical bone regeneration was evident in both groups since all the samples demonstrated trabecular bone with different degrees of maturation and mineralization in the regenerated area. Conclusion: Within the limits of this study based on 5 patients, it appears that the behavior of the allogeneic bone matrix is similar to that of autogenous bone chips when used for vertical ridge augmentation by means of guided bone regeneration techniques. Both grafts demonstrated analogous histologic characteristics. Nevertheless, long-term clinical studies are needed to confirm these preliminary results. INT J ORAL","author":[{"dropping-particle":"","family":"Fontana","given":"Filippo","non-dropping-particle":"","parse-names":false,"suffix":""},{"dropping-particle":"","family":"Santoro","given":"Franco","non-dropping-particle":"","parse-names":false,"suffix":""},{"dropping-particle":"","family":"Maiorana","given":"Carlo","non-dropping-particle":"","parse-names":false,"suffix":""},{"dropping-particle":"","family":"Iezzi","given":"Giovanna","non-dropping-particle":"","parse-names":false,"suffix":""},{"dropping-particle":"","family":"Piattelli","given":"Adriano","non-dropping-particle":"","parse-names":false,"suffix":""},{"dropping-particle":"","family":"Simion","given":"Massimo","non-dropping-particle":"","parse-names":false,"suffix":""}],"id":"ITEM-1","issued":{"date-parts":[["2008"]]},"title":"Clinical and Histologic Evaluation of Allogeneic Bone Matrix Versus Autogenous Bone Chips Associated with Titanium-Reinforced e-PTFE Membrane for Vertical Ridge Augmentation: A Prospective Pilot Study","type":"report"},"uris":["http://www.mendeley.com/documents/?uuid=08fd0075-8399-31b7-90bb-2d310f8d9968"]}],"mendeley":{"formattedCitation":"(35)","plainTextFormattedCitation":"(35)","previouslyFormattedCitation":"(35)"},"properties":{"noteIndex":0},"schema":"https://github.com/citation-style-language/schema/raw/master/csl-citation.json"}</w:instrText>
      </w:r>
      <w:r w:rsidR="00C36FA4">
        <w:fldChar w:fldCharType="separate"/>
      </w:r>
      <w:r w:rsidR="00C36FA4" w:rsidRPr="00C36FA4">
        <w:rPr>
          <w:noProof/>
        </w:rPr>
        <w:t>(35)</w:t>
      </w:r>
      <w:r w:rsidR="00C36FA4">
        <w:fldChar w:fldCharType="end"/>
      </w:r>
      <w:r w:rsidRPr="004836AF">
        <w:t xml:space="preserve">.  </w:t>
      </w:r>
    </w:p>
    <w:p w14:paraId="65F80353" w14:textId="3D7A79C1" w:rsidR="005E334C" w:rsidRPr="004836AF" w:rsidRDefault="00117609" w:rsidP="004836AF">
      <w:pPr>
        <w:spacing w:before="240" w:after="240" w:line="360" w:lineRule="auto"/>
        <w:jc w:val="both"/>
        <w:rPr>
          <w:color w:val="292526"/>
        </w:rPr>
      </w:pPr>
      <w:r w:rsidRPr="004836AF">
        <w:rPr>
          <w:color w:val="292526"/>
        </w:rPr>
        <w:t xml:space="preserve">Similares  resultados histomorfométricos obtuvo un estudio clínico controlado (ECC) comparando el aloinjerto con hueso autólogo en el AVR con técnica de ROG con </w:t>
      </w:r>
      <w:r w:rsidRPr="004836AF">
        <w:rPr>
          <w:color w:val="292526"/>
        </w:rPr>
        <w:lastRenderedPageBreak/>
        <w:t>membrana de PTFE-e. Constataron además que existe una correlación entre densidad ósea del hueso preexistente y la del hueso regenerado. Cuando la regeneración fue a partir de hueso cortical (densidad media de 75% ± 12,09%) se encontró una densidad ósea alta (53,16% ± 11,89%). Cuando el hueso regenerado se originó de hueso esponjoso (36,63% ± 14,63%) las características eran similares y casi indistinguibles del hueso preexistente</w:t>
      </w:r>
      <w:r w:rsidR="00C36FA4">
        <w:rPr>
          <w:color w:val="292526"/>
        </w:rPr>
        <w:t xml:space="preserve"> </w:t>
      </w:r>
      <w:r w:rsidR="00C36FA4">
        <w:rPr>
          <w:color w:val="292526"/>
        </w:rPr>
        <w:fldChar w:fldCharType="begin" w:fldLock="1"/>
      </w:r>
      <w:r w:rsidR="00B45DEF">
        <w:rPr>
          <w:color w:val="292526"/>
        </w:rPr>
        <w:instrText>ADDIN CSL_CITATION {"citationItems":[{"id":"ITEM-1","itemData":{"ISSN":"0198-7569","PMID":"9558553","abstract":"This study investigated the effect on vertical bone regeneration of the addition of demineralized freeze-dried bone allograft or autogenous bone chips to a membrane technique. Twenty partially edentulous patients with vertical jawbone deficiencies were selected for this study. The patients were divided into two groups of 10 individuals. The 10 patients of Group A received 26 Brånemark implants in 10 surgical sites. The 10 patients of Group B received 32 implants in 12 surgical sites. Fifty-two out of 58 implants (22 in Group A and 30 in Group B) extended 1.5 to 7.5 mm superior to the bone crest. Titanium-reinforced expanded polytetrafluoroethylene membranes were used to cover the implants and, before complete membrane fixation, demineralized freeze-dried bone allograft particles were condensed under the membrane in Group A, and autogenous bone chips were used in Group B. At the reentry after 7 to 11 months the membranes were removed and a small biopsy was collected from 11 sites comprehending the miniscrews. The clinical measurements from Group A demonstrated a mean vertical bone gain of 3.1 mm (SD = 0.9 mm, range 1 to 5 mm) with a mean percentage of bone gain of 124% (SD = 46.6%). The measurements from Group B showed a mean vertical bone gain of 5.02 mm (SD = 2.3 mm, range 1 to 8.5 mm) with a mean percentage of bone gain of 95% (SD = 26.8%). Histomorphometric analysis of the present study clearly demonstrated a direct correlation between the density of the pre-existing bone and the density of the regenerated bone. The mean percentage of new bone-titanium contact was from 39.1% to 63.2%, depending on the quality of the pre-existing bone. Both the clinical and histologic results indicate a beneficial effect of the addition of demineralized freeze-dried bone allograft or autogenous bone particles to vertical ridge augmentation procedures in humans.","author":[{"dropping-particle":"","family":"Simion","given":"M","non-dropping-particle":"","parse-names":false,"suffix":""},{"dropping-particle":"","family":"Jovanovic","given":"S A","non-dropping-particle":"","parse-names":false,"suffix":""},{"dropping-particle":"","family":"Trisi","given":"P","non-dropping-particle":"","parse-names":false,"suffix":""},{"dropping-particle":"","family":"Scarano","given":"A","non-dropping-particle":"","parse-names":false,"suffix":""},{"dropping-particle":"","family":"Piattelli","given":"A","non-dropping-particle":"","parse-names":false,"suffix":""}],"container-title":"The International journal of periodontics &amp; restorative dentistry","id":"ITEM-1","issue":"1","issued":{"date-parts":[["1998"]]},"number-of-pages":"8-23","title":"Vertical ridge augmentation around dental implants using a membrane technique and autogenous bone or allografts in humans.","type":"report","volume":"18"},"uris":["http://www.mendeley.com/documents/?uuid=0a79f651-c566-383d-b3e4-d085198ab13c"]}],"mendeley":{"formattedCitation":"(36)","plainTextFormattedCitation":"(36)","previouslyFormattedCitation":"(36)"},"properties":{"noteIndex":0},"schema":"https://github.com/citation-style-language/schema/raw/master/csl-citation.json"}</w:instrText>
      </w:r>
      <w:r w:rsidR="00C36FA4">
        <w:rPr>
          <w:color w:val="292526"/>
        </w:rPr>
        <w:fldChar w:fldCharType="separate"/>
      </w:r>
      <w:r w:rsidR="00C36FA4" w:rsidRPr="00C36FA4">
        <w:rPr>
          <w:noProof/>
          <w:color w:val="292526"/>
        </w:rPr>
        <w:t>(36)</w:t>
      </w:r>
      <w:r w:rsidR="00C36FA4">
        <w:rPr>
          <w:color w:val="292526"/>
        </w:rPr>
        <w:fldChar w:fldCharType="end"/>
      </w:r>
      <w:r w:rsidRPr="004836AF">
        <w:rPr>
          <w:color w:val="292526"/>
        </w:rPr>
        <w:t xml:space="preserve">. </w:t>
      </w:r>
    </w:p>
    <w:p w14:paraId="76A4657C" w14:textId="4298D466" w:rsidR="005E334C" w:rsidRPr="004836AF" w:rsidRDefault="00117609" w:rsidP="004836AF">
      <w:pPr>
        <w:spacing w:before="240" w:after="240" w:line="360" w:lineRule="auto"/>
        <w:jc w:val="both"/>
        <w:rPr>
          <w:color w:val="292526"/>
        </w:rPr>
      </w:pPr>
      <w:proofErr w:type="spellStart"/>
      <w:r w:rsidRPr="004836AF">
        <w:rPr>
          <w:color w:val="292526"/>
        </w:rPr>
        <w:t>Corinaldesi</w:t>
      </w:r>
      <w:proofErr w:type="spellEnd"/>
      <w:r w:rsidRPr="004836AF">
        <w:rPr>
          <w:color w:val="292526"/>
        </w:rPr>
        <w:t xml:space="preserve">  </w:t>
      </w:r>
      <w:r w:rsidR="00C36FA4">
        <w:rPr>
          <w:color w:val="292526"/>
        </w:rPr>
        <w:t xml:space="preserve">realizó un </w:t>
      </w:r>
      <w:r w:rsidR="00AD2362">
        <w:rPr>
          <w:color w:val="292526"/>
        </w:rPr>
        <w:t>estudio clínico controlado (</w:t>
      </w:r>
      <w:r w:rsidR="00C36FA4">
        <w:rPr>
          <w:color w:val="292526"/>
        </w:rPr>
        <w:t>ECC</w:t>
      </w:r>
      <w:r w:rsidR="00AD2362">
        <w:rPr>
          <w:color w:val="292526"/>
        </w:rPr>
        <w:t>)</w:t>
      </w:r>
      <w:r w:rsidRPr="004836AF">
        <w:rPr>
          <w:color w:val="292526"/>
        </w:rPr>
        <w:t xml:space="preserve"> en el que buscó responder a la pregunta, de cual era la ventaja del uso de un injerto autólogo particulado solamente  o con la adición de un sustituto óseo. Se plante</w:t>
      </w:r>
      <w:r w:rsidR="00C36FA4">
        <w:rPr>
          <w:color w:val="292526"/>
        </w:rPr>
        <w:t>ó</w:t>
      </w:r>
      <w:r w:rsidRPr="004836AF">
        <w:rPr>
          <w:color w:val="292526"/>
        </w:rPr>
        <w:t xml:space="preserve"> la posibilidad de reducir  la cantidad de hueso recolectado y disminuir así la morbilidad del sitio donante.  En dicho ensayo,  evaluó la calidad del hueso regenerado histológica e </w:t>
      </w:r>
      <w:proofErr w:type="spellStart"/>
      <w:r w:rsidRPr="004836AF">
        <w:rPr>
          <w:color w:val="292526"/>
        </w:rPr>
        <w:t>histomorfométricamente</w:t>
      </w:r>
      <w:proofErr w:type="spellEnd"/>
      <w:r w:rsidRPr="004836AF">
        <w:rPr>
          <w:color w:val="292526"/>
        </w:rPr>
        <w:t>, comparando biopsias del sitio regenerado con hueso autólogo 100% (grupo control) o hueso autólogo 70% con MHBD 30% (grupo de estudio) cubiertos por una malla de titanio en mandíbula y maxila. La colocación de los implantes se realizó entre 8 y 9 meses de realizada la regeneración ósea. En el seguimiento a un año la tasa de sobrevida de los implantes fue de un 100%. En cuanto a los resultados histológicos, encontraron en el grupo control hueso neo</w:t>
      </w:r>
      <w:r w:rsidR="00AD2362">
        <w:rPr>
          <w:color w:val="292526"/>
        </w:rPr>
        <w:t xml:space="preserve"> </w:t>
      </w:r>
      <w:r w:rsidRPr="004836AF">
        <w:rPr>
          <w:color w:val="292526"/>
        </w:rPr>
        <w:t>formado principalmente  laminar, sin signos de infiltrado inflamatorio, necrosis o reacción de cuerpo extraño. Mientras que en el grupo de estudio partículas del xenoinjerto eran reconocibles, rodeadas de hueso neo</w:t>
      </w:r>
      <w:r w:rsidR="00C36FA4">
        <w:rPr>
          <w:color w:val="292526"/>
        </w:rPr>
        <w:t xml:space="preserve"> </w:t>
      </w:r>
      <w:r w:rsidRPr="004836AF">
        <w:rPr>
          <w:color w:val="292526"/>
        </w:rPr>
        <w:t xml:space="preserve">formado sin tejido conjuntivo entre ellas y el hueso. Sin signos de reabsorción ni de inflamación. El estudio </w:t>
      </w:r>
      <w:proofErr w:type="spellStart"/>
      <w:r w:rsidRPr="004836AF">
        <w:rPr>
          <w:color w:val="292526"/>
        </w:rPr>
        <w:t>histomorfométrico</w:t>
      </w:r>
      <w:proofErr w:type="spellEnd"/>
      <w:r w:rsidRPr="004836AF">
        <w:rPr>
          <w:color w:val="292526"/>
        </w:rPr>
        <w:t xml:space="preserve"> para el grupo control mostró 62,38% ± 13,02% de hueso nuevo y  37,62% ± 13,02% de tejidos blandos. Para el grupo de estudio el porcentaje de hueso nuevo fue de 52,88% ± 11,47%, el de tejidos blandos de 29,96% ± 12,58% y el restante 17,16% ± 2,72 fue completado con las partículas del xenoinjerto.  La diferencia en formación de nuevo hueso no fue estadísticamente significativa entre los grupos. El porcentaje de hueso nuevo formado en mandíbula tampoco fue significativamente distinto al del observado en el maxilar superior. (60,05% ± 16,49% vs. 55,21% ± 8,32%). Concluyendo que estudios deberían realizarse utilizando menores cantidades de hueso autólogo o solamente un xenoinjerto para reducir la morbilidad y </w:t>
      </w:r>
      <w:proofErr w:type="spellStart"/>
      <w:r w:rsidRPr="004836AF">
        <w:rPr>
          <w:color w:val="292526"/>
        </w:rPr>
        <w:t>discomfort</w:t>
      </w:r>
      <w:proofErr w:type="spellEnd"/>
      <w:r w:rsidRPr="004836AF">
        <w:rPr>
          <w:color w:val="292526"/>
        </w:rPr>
        <w:t xml:space="preserve"> del paciente </w:t>
      </w:r>
      <w:r w:rsidR="00B45DEF">
        <w:rPr>
          <w:color w:val="292526"/>
        </w:rPr>
        <w:fldChar w:fldCharType="begin" w:fldLock="1"/>
      </w:r>
      <w:r w:rsidR="00B45DEF">
        <w:rPr>
          <w:color w:val="292526"/>
        </w:rPr>
        <w:instrText>ADDIN CSL_CITATION {"citationItems":[{"id":"ITEM-1","itemData":{"DOI":"10.1902/jop.2007.070001","ISSN":"0022-3492","abstract":"Background: Recently, the use of titanium micromesh for alveolar bone augmentation has drawn interest; however, only limited histologic data are available on the quality of the bone regenerated. Therefore, this study compared the use of 100% intraoral autogenous bone to a combination of intraoral autogenous bone (70%) and bovine porous bone mineral (BPBM) (30%) for alveolar ridge augmentation with titanium micromesh histologically and histomorphometrically. Methods: Twelve partially edentulous patients required alveolar bone augmentation before implant insertion because of ridge resorption. The defect sites, six in the maxilla and six in the mandible, were reconstructed with particulate autologous bone (control group, N = 6) or a mixture of autologous bone and BPBM (test group, N = 6) in combination with titanium micromesh. Core biopsies were taken from the defect sites 8 to 9 months after grafting at the time of implant insertion. Results: Newly formed compact bone with a well-organized lamellar pattern was identified in all specimens. In the samples taken from the test group, the BPBM particles were surrounded completely by newly formed bone with no signs of resorption. The mean total bone volume was 62.38% ± 13.02% in the control group and 52.88% ± 11.47% in the test group. The soft tissue volume was 37.61% ± 13.02% and 29.96% ± 12.58%, respectively, and the residual BPBM volume was 17.15% ± 2.72% in the test group. No statistical difference was observed in the histologic parameters evaluated, irrespective of graft type and site (P&gt;0.05). Conclusion: Within the limits of this study, BPBM (30%) in combination with autogenous bone (70%) did not yield a lower percentage of new bone formed compared to autogenous bone alone in ridge augmentation with titanium micromesh.","author":[{"dropping-particle":"","family":"Corinaldesi","given":"Giuseppe","non-dropping-particle":"","parse-names":false,"suffix":""},{"dropping-particle":"","family":"Pieri","given":"Francesco","non-dropping-particle":"","parse-names":false,"suffix":""},{"dropping-particle":"","family":"Marchetti","given":"Claudio","non-dropping-particle":"","parse-names":false,"suffix":""},{"dropping-particle":"","family":"Fini","given":"Milena","non-dropping-particle":"","parse-names":false,"suffix":""},{"dropping-particle":"","family":"Aldini","given":"Nicolò Nicoli","non-dropping-particle":"","parse-names":false,"suffix":""},{"dropping-particle":"","family":"Giardino","given":"Roberto","non-dropping-particle":"","parse-names":false,"suffix":""}],"container-title":"Journal of Periodontology","id":"ITEM-1","issue":"8","issued":{"date-parts":[["2007","8"]]},"page":"1477-1484","publisher":"Wiley","title":"Histologic and Histomorphometric Evaluation of Alveolar Ridge Augmentation Using Bone Grafts and Titanium Micromesh in Humans","type":"article-journal","volume":"78"},"uris":["http://www.mendeley.com/documents/?uuid=5c7a8624-2047-306c-9a38-66f1b7c41411"]}],"mendeley":{"formattedCitation":"(37)","plainTextFormattedCitation":"(37)","previouslyFormattedCitation":"(37)"},"properties":{"noteIndex":0},"schema":"https://github.com/citation-style-language/schema/raw/master/csl-citation.json"}</w:instrText>
      </w:r>
      <w:r w:rsidR="00B45DEF">
        <w:rPr>
          <w:color w:val="292526"/>
        </w:rPr>
        <w:fldChar w:fldCharType="separate"/>
      </w:r>
      <w:r w:rsidR="00B45DEF" w:rsidRPr="00B45DEF">
        <w:rPr>
          <w:noProof/>
          <w:color w:val="292526"/>
        </w:rPr>
        <w:t>(37)</w:t>
      </w:r>
      <w:r w:rsidR="00B45DEF">
        <w:rPr>
          <w:color w:val="292526"/>
        </w:rPr>
        <w:fldChar w:fldCharType="end"/>
      </w:r>
      <w:r w:rsidR="00B45DEF">
        <w:rPr>
          <w:color w:val="292526"/>
        </w:rPr>
        <w:t>.</w:t>
      </w:r>
    </w:p>
    <w:p w14:paraId="1BD63A30" w14:textId="7BE8BFA5" w:rsidR="005E334C" w:rsidRPr="004836AF" w:rsidRDefault="00117609" w:rsidP="004836AF">
      <w:pPr>
        <w:spacing w:before="240" w:after="240" w:line="360" w:lineRule="auto"/>
        <w:jc w:val="both"/>
        <w:rPr>
          <w:color w:val="292526"/>
        </w:rPr>
      </w:pPr>
      <w:r w:rsidRPr="004836AF">
        <w:rPr>
          <w:color w:val="292526"/>
        </w:rPr>
        <w:t xml:space="preserve">En este sentido también se realizaron ECC comparando el uso de hueso autólogo y sustituto con sustituto solamente. </w:t>
      </w:r>
      <w:proofErr w:type="spellStart"/>
      <w:r w:rsidRPr="004836AF">
        <w:rPr>
          <w:color w:val="292526"/>
        </w:rPr>
        <w:t>Beitlitum</w:t>
      </w:r>
      <w:proofErr w:type="spellEnd"/>
      <w:r w:rsidRPr="004836AF">
        <w:rPr>
          <w:color w:val="292526"/>
        </w:rPr>
        <w:t xml:space="preserve"> utilizó como tal un aloinjerto en 27 pacientes (grupo A) y aloinjerto en una capa superficial con hueso autólogo en la porción interna en 23 pacientes (grupo B), con colocación simultánea del implante y </w:t>
      </w:r>
      <w:r w:rsidRPr="004836AF">
        <w:rPr>
          <w:color w:val="292526"/>
        </w:rPr>
        <w:lastRenderedPageBreak/>
        <w:t xml:space="preserve">cubiertos por una membrana de colágeno no reticulado. No encontrando diferencias significativas en cuanto a la ganancia ósea, siendo la misma de </w:t>
      </w:r>
      <w:proofErr w:type="spellStart"/>
      <w:r w:rsidRPr="004836AF">
        <w:rPr>
          <w:color w:val="292526"/>
        </w:rPr>
        <w:t>3,47mm</w:t>
      </w:r>
      <w:proofErr w:type="spellEnd"/>
      <w:r w:rsidRPr="004836AF">
        <w:rPr>
          <w:color w:val="292526"/>
        </w:rPr>
        <w:t xml:space="preserve"> ± </w:t>
      </w:r>
      <w:proofErr w:type="spellStart"/>
      <w:r w:rsidRPr="004836AF">
        <w:rPr>
          <w:color w:val="292526"/>
        </w:rPr>
        <w:t>1,25mm</w:t>
      </w:r>
      <w:proofErr w:type="spellEnd"/>
      <w:r w:rsidRPr="004836AF">
        <w:rPr>
          <w:color w:val="292526"/>
        </w:rPr>
        <w:t xml:space="preserve"> en el grupo A y de </w:t>
      </w:r>
      <w:proofErr w:type="spellStart"/>
      <w:r w:rsidRPr="004836AF">
        <w:rPr>
          <w:color w:val="292526"/>
        </w:rPr>
        <w:t>3,5mm</w:t>
      </w:r>
      <w:proofErr w:type="spellEnd"/>
      <w:r w:rsidRPr="004836AF">
        <w:rPr>
          <w:color w:val="292526"/>
        </w:rPr>
        <w:t xml:space="preserve"> ± </w:t>
      </w:r>
      <w:proofErr w:type="spellStart"/>
      <w:r w:rsidRPr="004836AF">
        <w:rPr>
          <w:color w:val="292526"/>
        </w:rPr>
        <w:t>1,2mm</w:t>
      </w:r>
      <w:proofErr w:type="spellEnd"/>
      <w:r w:rsidRPr="004836AF">
        <w:rPr>
          <w:color w:val="292526"/>
        </w:rPr>
        <w:t xml:space="preserve"> en el grupo B. Concluyeron que  mejores resultados con el agregado de hueso autólogo particulado no podían ser demostrados en este estudio. El parámetro que realmente afect</w:t>
      </w:r>
      <w:r w:rsidR="00B45DEF">
        <w:rPr>
          <w:color w:val="292526"/>
        </w:rPr>
        <w:t>ó</w:t>
      </w:r>
      <w:r w:rsidRPr="004836AF">
        <w:rPr>
          <w:color w:val="292526"/>
        </w:rPr>
        <w:t xml:space="preserve"> negativamente el grado de formación ósea es la exposición espontánea de la membrana que había ocurrido en un 46% de los casos en el sector posterior de la mandíbula</w:t>
      </w:r>
      <w:r w:rsidR="00B45DEF">
        <w:rPr>
          <w:color w:val="292526"/>
        </w:rPr>
        <w:fldChar w:fldCharType="begin" w:fldLock="1"/>
      </w:r>
      <w:r w:rsidR="00B45DEF">
        <w:rPr>
          <w:color w:val="292526"/>
        </w:rPr>
        <w:instrText>ADDIN CSL_CITATION {"citationItems":[{"id":"ITEM-1","itemData":{"DOI":"10.1111/j.1600-0501.2010.01936.x","ISSN":"09057161","abstract":"The evaluate the clinical outcome of bone augmentation with the use of particulate mineralized freeze-dried bone allograft (FDBA) with or without the addition of autogeneous bone chips, applied in a bi-layered (BL) technique, covered by a resorbable cross-linked collagen membrane.","author":[{"dropping-particle":"","family":"Beitlitum","given":"Ilan","non-dropping-particle":"","parse-names":false,"suffix":""},{"dropping-particle":"","family":"Artzi","given":"Zvi","non-dropping-particle":"","parse-names":false,"suffix":""},{"dropping-particle":"","family":"Nemcovsky","given":"Carlos E.","non-dropping-particle":"","parse-names":false,"suffix":""}],"container-title":"Clinical Oral Implants Research","id":"ITEM-1","issue":"11","issued":{"date-parts":[["2010","11"]]},"page":"1242-1250","title":"Clinical evaluation of particulate allogeneic with and without autogenous bone grafts and resorbable collagen membranes for bone augmentation of atrophic alveolar ridges","type":"article-journal","volume":"21"},"uris":["http://www.mendeley.com/documents/?uuid=8c3bd654-c8c8-39eb-857f-09ac5b09250d"]}],"mendeley":{"formattedCitation":"(38)","plainTextFormattedCitation":"(38)","previouslyFormattedCitation":"(38)"},"properties":{"noteIndex":0},"schema":"https://github.com/citation-style-language/schema/raw/master/csl-citation.json"}</w:instrText>
      </w:r>
      <w:r w:rsidR="00B45DEF">
        <w:rPr>
          <w:color w:val="292526"/>
        </w:rPr>
        <w:fldChar w:fldCharType="separate"/>
      </w:r>
      <w:r w:rsidR="00B45DEF" w:rsidRPr="00B45DEF">
        <w:rPr>
          <w:noProof/>
          <w:color w:val="292526"/>
        </w:rPr>
        <w:t>(38)</w:t>
      </w:r>
      <w:r w:rsidR="00B45DEF">
        <w:rPr>
          <w:color w:val="292526"/>
        </w:rPr>
        <w:fldChar w:fldCharType="end"/>
      </w:r>
      <w:r w:rsidRPr="004836AF">
        <w:rPr>
          <w:color w:val="292526"/>
        </w:rPr>
        <w:t>.</w:t>
      </w:r>
    </w:p>
    <w:p w14:paraId="04830BE6" w14:textId="6714CD4F" w:rsidR="005E334C" w:rsidRPr="004836AF" w:rsidRDefault="00117609" w:rsidP="004836AF">
      <w:pPr>
        <w:spacing w:before="240" w:after="240" w:line="360" w:lineRule="auto"/>
        <w:jc w:val="both"/>
        <w:rPr>
          <w:color w:val="292526"/>
        </w:rPr>
      </w:pPr>
      <w:r w:rsidRPr="004836AF">
        <w:rPr>
          <w:color w:val="292526"/>
        </w:rPr>
        <w:t xml:space="preserve">En un estudio prospectivo de serie de casos </w:t>
      </w:r>
      <w:proofErr w:type="spellStart"/>
      <w:r w:rsidRPr="004836AF">
        <w:rPr>
          <w:color w:val="292526"/>
        </w:rPr>
        <w:t>Simion</w:t>
      </w:r>
      <w:proofErr w:type="spellEnd"/>
      <w:r w:rsidRPr="004836AF">
        <w:rPr>
          <w:color w:val="292526"/>
        </w:rPr>
        <w:t xml:space="preserve"> planteó la comparación  histológica, </w:t>
      </w:r>
      <w:proofErr w:type="spellStart"/>
      <w:r w:rsidRPr="004836AF">
        <w:rPr>
          <w:color w:val="292526"/>
        </w:rPr>
        <w:t>histomorfométrica</w:t>
      </w:r>
      <w:proofErr w:type="spellEnd"/>
      <w:r w:rsidRPr="004836AF">
        <w:rPr>
          <w:color w:val="292526"/>
        </w:rPr>
        <w:t xml:space="preserve"> y la eficacia de la combinación de hueso autólogo particulado y </w:t>
      </w:r>
      <w:proofErr w:type="spellStart"/>
      <w:r w:rsidRPr="004836AF">
        <w:rPr>
          <w:color w:val="292526"/>
        </w:rPr>
        <w:t>xenólogo</w:t>
      </w:r>
      <w:proofErr w:type="spellEnd"/>
      <w:r w:rsidRPr="004836AF">
        <w:rPr>
          <w:color w:val="292526"/>
        </w:rPr>
        <w:t xml:space="preserve"> (1:1) o de hueso autólogo cubiertos por una membrana de PTFE-e  con estructura de titanio para el AVR  con ROG y colocación simultánea o diferida de los implantes en 10 sitios quirúrgicos mandibulares. A los 9 meses se realizó la reentrada para el retiro de la membrana, estudio histológico e </w:t>
      </w:r>
      <w:proofErr w:type="spellStart"/>
      <w:r w:rsidRPr="004836AF">
        <w:rPr>
          <w:color w:val="292526"/>
        </w:rPr>
        <w:t>histomorfométrico</w:t>
      </w:r>
      <w:proofErr w:type="spellEnd"/>
      <w:r w:rsidRPr="004836AF">
        <w:rPr>
          <w:color w:val="292526"/>
        </w:rPr>
        <w:t xml:space="preserve">. En el grupo de injerto combinado se logró una ganancia promedio de </w:t>
      </w:r>
      <w:proofErr w:type="spellStart"/>
      <w:r w:rsidRPr="004836AF">
        <w:rPr>
          <w:color w:val="292526"/>
        </w:rPr>
        <w:t>3,15mm</w:t>
      </w:r>
      <w:proofErr w:type="spellEnd"/>
      <w:r w:rsidRPr="004836AF">
        <w:rPr>
          <w:color w:val="292526"/>
        </w:rPr>
        <w:t xml:space="preserve"> ± </w:t>
      </w:r>
      <w:proofErr w:type="spellStart"/>
      <w:r w:rsidRPr="004836AF">
        <w:rPr>
          <w:color w:val="292526"/>
        </w:rPr>
        <w:t>1,12mm</w:t>
      </w:r>
      <w:proofErr w:type="spellEnd"/>
      <w:r w:rsidRPr="004836AF">
        <w:rPr>
          <w:color w:val="292526"/>
        </w:rPr>
        <w:t xml:space="preserve"> y en el de hueso autólogo </w:t>
      </w:r>
      <w:proofErr w:type="spellStart"/>
      <w:r w:rsidRPr="004836AF">
        <w:rPr>
          <w:color w:val="292526"/>
        </w:rPr>
        <w:t>3,85mm</w:t>
      </w:r>
      <w:proofErr w:type="spellEnd"/>
      <w:r w:rsidRPr="004836AF">
        <w:rPr>
          <w:color w:val="292526"/>
        </w:rPr>
        <w:t xml:space="preserve"> ± </w:t>
      </w:r>
      <w:proofErr w:type="spellStart"/>
      <w:r w:rsidRPr="004836AF">
        <w:rPr>
          <w:color w:val="292526"/>
        </w:rPr>
        <w:t>1,23mm</w:t>
      </w:r>
      <w:proofErr w:type="spellEnd"/>
      <w:r w:rsidRPr="004836AF">
        <w:rPr>
          <w:color w:val="292526"/>
        </w:rPr>
        <w:t xml:space="preserve">, siendo posible regenerar hasta </w:t>
      </w:r>
      <w:proofErr w:type="spellStart"/>
      <w:r w:rsidRPr="004836AF">
        <w:rPr>
          <w:color w:val="292526"/>
        </w:rPr>
        <w:t>5mm</w:t>
      </w:r>
      <w:proofErr w:type="spellEnd"/>
      <w:r w:rsidRPr="004836AF">
        <w:rPr>
          <w:color w:val="292526"/>
        </w:rPr>
        <w:t xml:space="preserve"> en ambos grupos. En cuanto a la histomorfometría un 35,56% ± 11, 68% y un 18,28% ± 9,47%  de hueso nuevo fue encontrado en el grupo de injerto combinado y de hueso autólogo respectivamente</w:t>
      </w:r>
      <w:r w:rsidR="00B45DEF">
        <w:rPr>
          <w:color w:val="292526"/>
        </w:rPr>
        <w:t xml:space="preserve"> </w:t>
      </w:r>
      <w:r w:rsidR="00B45DEF">
        <w:rPr>
          <w:color w:val="292526"/>
        </w:rPr>
        <w:fldChar w:fldCharType="begin" w:fldLock="1"/>
      </w:r>
      <w:r w:rsidR="00B45DEF">
        <w:rPr>
          <w:color w:val="292526"/>
        </w:rPr>
        <w:instrText>ADDIN CSL_CITATION {"citationItems":[{"id":"ITEM-1","itemData":{"DOI":"10.1111/j.1600-0501.2007.01389.x","ISSN":"09057161","abstract":"OBJECTIVE: To evaluate, from a histological and histomorphometrical perspective, the efficacy of a 1 : 1 mixture of deproteinized bovine bone mineral (DBBM) and autogenous bone graft associated with an expanded-polytetrafluoroethylene (e-PTFE) membrane for vertical ridge augmentation in the human. MATERIAL AND METHODS: Seven patients with 10 surgical sites requiring vertical ridge augmentation of partially edentulous lower jaws were included in the study. The vertical augmentation procedure was performed combining a titanium-reinforced e-PTFE Gore-Tex membrane with a composite graft consisting of a 1 : 1 ratio of DBBM (Bio-Oss) and autogenous bone. Twenty-seven Branemark implants have been inserted. Eleven biopsies from the regenerated area were analyzed histologically and histomorphometrically. RESULTS: The healing period was uneventful in nine surgical sites. In one site the membrane showed an exposure after 3 months. At the abutment connection, all implants appeared stable and submerged by a hard regenerated tissue clinically similar to bone. The histological analysis showed new bone formation and ongoing remodelling of the autogenous bone and the DBBM particles. CONCLUSIONS: The findings from the present clinical and histological study support the use of a 1 : 1 combination of DBBM and autogenous bone chips for vertical ridge augmentation by means of guided bone regeneration techniques. The regenerated bone may lead to proper osseointegration of a dental implant inserted at the time of the regenerative procedure or after a healing period of at least 6 months. DBBM undergoes very slow resorption and substitution with new bone. Furthermore, long-term clinical studies are needed to confirm the positive effect of DBBM in enhancing the lasting stability of the vertically augmented bone.","author":[{"dropping-particle":"","family":"Simion","given":"Massimo","non-dropping-particle":"","parse-names":false,"suffix":""},{"dropping-particle":"","family":"Fontana","given":"Filippo","non-dropping-particle":"","parse-names":false,"suffix":""},{"dropping-particle":"","family":"Rasperini","given":"Giulio","non-dropping-particle":"","parse-names":false,"suffix":""},{"dropping-particle":"","family":"Maiorana","given":"Carlo","non-dropping-particle":"","parse-names":false,"suffix":""}],"container-title":"Clinical Oral Implants Research","id":"ITEM-1","issue":"5","issued":{"date-parts":[["2007","10"]]},"page":"620-629","title":"Vertical ridge augmentation by expanded-polytetrafluoroethylene membrane and a combination of intraoral autogenous bone graft and deproteinized anorganic bovine bone (Bio Oss)","type":"article-journal","volume":"18"},"uris":["http://www.mendeley.com/documents/?uuid=57f53f9b-9452-3f2d-8800-2cb3d0a8244f"]}],"mendeley":{"formattedCitation":"(39)","plainTextFormattedCitation":"(39)","previouslyFormattedCitation":"(39)"},"properties":{"noteIndex":0},"schema":"https://github.com/citation-style-language/schema/raw/master/csl-citation.json"}</w:instrText>
      </w:r>
      <w:r w:rsidR="00B45DEF">
        <w:rPr>
          <w:color w:val="292526"/>
        </w:rPr>
        <w:fldChar w:fldCharType="separate"/>
      </w:r>
      <w:r w:rsidR="00B45DEF" w:rsidRPr="00B45DEF">
        <w:rPr>
          <w:noProof/>
          <w:color w:val="292526"/>
        </w:rPr>
        <w:t>(39)</w:t>
      </w:r>
      <w:r w:rsidR="00B45DEF">
        <w:rPr>
          <w:color w:val="292526"/>
        </w:rPr>
        <w:fldChar w:fldCharType="end"/>
      </w:r>
      <w:r w:rsidRPr="004836AF">
        <w:rPr>
          <w:color w:val="292526"/>
        </w:rPr>
        <w:t xml:space="preserve">. </w:t>
      </w:r>
    </w:p>
    <w:p w14:paraId="326C1C78" w14:textId="19598803" w:rsidR="005E334C" w:rsidRPr="004836AF" w:rsidRDefault="00117609" w:rsidP="004836AF">
      <w:pPr>
        <w:spacing w:before="240" w:after="240" w:line="360" w:lineRule="auto"/>
        <w:jc w:val="both"/>
        <w:rPr>
          <w:color w:val="292526"/>
        </w:rPr>
      </w:pPr>
      <w:r w:rsidRPr="004836AF">
        <w:rPr>
          <w:color w:val="292526"/>
        </w:rPr>
        <w:t>Fontana con el fin de comparar también distintos materiales de injerto y su estabilidad marginal en el AVR con ROG, realizó un estudio de serie de casos en el que puso a prueba: hueso autólogo, aloinjerto y autólogo con xenoinjerto (1:1). Fueron cubiertos por una membrana de PTFE-e reforzada con estructura de titanio.  De los 29 sitios, 22 fueron realizados en dos etapas y en 7 la colocación de los implantes fue simultánea. El seguimiento lo realizó por 6 años. La tasa de sobrevida fue de 93,6%. No encontraron diferencias significativas en la técnica simultánea o en etapas ni en el porcentaje de ganancia vertical según el tipo de injerto. Por otro lado la reabsorción marginal promedio fue de 0,34 mm el primer año y de 0,64 mm al sexto año de control manteniéndose estable</w:t>
      </w:r>
      <w:r w:rsidR="00B45DEF">
        <w:rPr>
          <w:color w:val="292526"/>
        </w:rPr>
        <w:t xml:space="preserve"> </w:t>
      </w:r>
      <w:r w:rsidR="00B45DEF">
        <w:rPr>
          <w:color w:val="292526"/>
        </w:rPr>
        <w:fldChar w:fldCharType="begin" w:fldLock="1"/>
      </w:r>
      <w:r w:rsidR="00B45DEF">
        <w:rPr>
          <w:color w:val="292526"/>
        </w:rPr>
        <w:instrText>ADDIN CSL_CITATION {"citationItems":[{"id":"ITEM-1","itemData":{"DOI":"10.11607/prd.2136","ISSN":"01987569","abstract":"The aim of this study was to retrospectively evaluate 75 implants inserted in vertically augmented bone at the time of or prior to implant placement after 1 to 6 years of prosthetic loading. The study included 21 patients (29 surgical sites). The vertical procedure was performed combining a titanium-reinforced expanded polytetrafluoroethylene membrane with autograft (7 sites), allograft (5 sites), or auto-xenograft (17 sites). Healing was uneventful in 24 surgical sites. Three sites showed premature exposure, and two sites presented an abscess. Two implants were lost, for a cumulative survival rate of 93.6%. Mean bone remodeling at 1, 2, 3, 4, 5, and 6 years was 0.34, 0.72, 1.04, 0.84, 0.56, and 0.61 mm, respectively. The implant success rate was higher with a simultaneous approach (82.5%) compared with a staged approach (66.8%). Implants surrounded by keratinized mucosa revealed a higher success rate (82.1%) than those without it (58.4%).","author":[{"dropping-particle":"","family":"Fontana","given":"Filippo","non-dropping-particle":"","parse-names":false,"suffix":""},{"dropping-particle":"","family":"Grossi","given":"Giovanni","non-dropping-particle":"","parse-names":false,"suffix":""},{"dropping-particle":"","family":"Fimano","given":"Maurizio","non-dropping-particle":"","parse-names":false,"suffix":""},{"dropping-particle":"","family":"Maiorana","given":"Carlo","non-dropping-particle":"","parse-names":false,"suffix":""}],"container-title":"International Journal of Periodontics and Restorative Dentistry","id":"ITEM-1","issue":"1","issued":{"date-parts":[["2015","1"]]},"page":"29-39","publisher":"Quintessence Publishing","title":"Osseointegrated Implants in Vertical Ridge Augmentation with a Nonresorbable Membrane: A Retrospective Study of 75 Implants with 1 to 6 Years of Follow-up","type":"article-journal","volume":"35"},"uris":["http://www.mendeley.com/documents/?uuid=d85003dd-1779-3411-a7fd-44c187773652"]}],"mendeley":{"formattedCitation":"(40)","plainTextFormattedCitation":"(40)","previouslyFormattedCitation":"(40)"},"properties":{"noteIndex":0},"schema":"https://github.com/citation-style-language/schema/raw/master/csl-citation.json"}</w:instrText>
      </w:r>
      <w:r w:rsidR="00B45DEF">
        <w:rPr>
          <w:color w:val="292526"/>
        </w:rPr>
        <w:fldChar w:fldCharType="separate"/>
      </w:r>
      <w:r w:rsidR="00B45DEF" w:rsidRPr="00B45DEF">
        <w:rPr>
          <w:noProof/>
          <w:color w:val="292526"/>
        </w:rPr>
        <w:t>(40)</w:t>
      </w:r>
      <w:r w:rsidR="00B45DEF">
        <w:rPr>
          <w:color w:val="292526"/>
        </w:rPr>
        <w:fldChar w:fldCharType="end"/>
      </w:r>
      <w:r w:rsidRPr="004836AF">
        <w:rPr>
          <w:color w:val="292526"/>
        </w:rPr>
        <w:t>.</w:t>
      </w:r>
      <w:r w:rsidR="00B45DEF" w:rsidRPr="004836AF">
        <w:rPr>
          <w:color w:val="292526"/>
        </w:rPr>
        <w:t xml:space="preserve"> </w:t>
      </w:r>
    </w:p>
    <w:p w14:paraId="788CFDFC" w14:textId="153FC607" w:rsidR="005E334C" w:rsidRPr="004836AF" w:rsidRDefault="00117609" w:rsidP="004836AF">
      <w:pPr>
        <w:spacing w:before="240" w:after="240" w:line="360" w:lineRule="auto"/>
        <w:jc w:val="both"/>
        <w:rPr>
          <w:highlight w:val="yellow"/>
        </w:rPr>
      </w:pPr>
      <w:proofErr w:type="spellStart"/>
      <w:r w:rsidRPr="004836AF">
        <w:rPr>
          <w:color w:val="292526"/>
        </w:rPr>
        <w:t>Funato</w:t>
      </w:r>
      <w:proofErr w:type="spellEnd"/>
      <w:r w:rsidRPr="004836AF">
        <w:rPr>
          <w:color w:val="292526"/>
        </w:rPr>
        <w:t xml:space="preserve"> y colaboradores realizaron un estudio de serie de casos en el que se aplicó  ROG para el AVR con xenoinjerto combinado con autoinjerto 1:1, junto con factores de crecimiento derivados de las plaquetas recombinados </w:t>
      </w:r>
      <w:proofErr w:type="spellStart"/>
      <w:r w:rsidRPr="004836AF">
        <w:rPr>
          <w:color w:val="292526"/>
        </w:rPr>
        <w:t>FCDPrh</w:t>
      </w:r>
      <w:proofErr w:type="spellEnd"/>
      <w:r w:rsidRPr="004836AF">
        <w:rPr>
          <w:color w:val="292526"/>
        </w:rPr>
        <w:t xml:space="preserve"> cubierto por una malla de titanio y membrana de colágeno reticulado. La medida promedio del defecto  era de </w:t>
      </w:r>
      <w:proofErr w:type="spellStart"/>
      <w:r w:rsidRPr="004836AF">
        <w:rPr>
          <w:color w:val="292526"/>
        </w:rPr>
        <w:t>10,0mm</w:t>
      </w:r>
      <w:proofErr w:type="spellEnd"/>
      <w:r w:rsidRPr="004836AF">
        <w:rPr>
          <w:color w:val="292526"/>
        </w:rPr>
        <w:t xml:space="preserve"> ± </w:t>
      </w:r>
      <w:proofErr w:type="spellStart"/>
      <w:r w:rsidRPr="004836AF">
        <w:rPr>
          <w:color w:val="292526"/>
        </w:rPr>
        <w:t>3,8mm</w:t>
      </w:r>
      <w:proofErr w:type="spellEnd"/>
      <w:r w:rsidRPr="004836AF">
        <w:rPr>
          <w:color w:val="292526"/>
        </w:rPr>
        <w:t xml:space="preserve"> y la  altura media obtenida fue de </w:t>
      </w:r>
      <w:proofErr w:type="spellStart"/>
      <w:r w:rsidRPr="004836AF">
        <w:rPr>
          <w:color w:val="292526"/>
        </w:rPr>
        <w:t>8,8mm</w:t>
      </w:r>
      <w:proofErr w:type="spellEnd"/>
      <w:r w:rsidRPr="004836AF">
        <w:rPr>
          <w:color w:val="292526"/>
        </w:rPr>
        <w:t xml:space="preserve"> ± </w:t>
      </w:r>
      <w:proofErr w:type="spellStart"/>
      <w:r w:rsidRPr="004836AF">
        <w:rPr>
          <w:color w:val="292526"/>
        </w:rPr>
        <w:t>4,2mm</w:t>
      </w:r>
      <w:proofErr w:type="spellEnd"/>
      <w:r w:rsidRPr="004836AF">
        <w:rPr>
          <w:color w:val="292526"/>
        </w:rPr>
        <w:t xml:space="preserve">. Logrando un relleno del 87,3% ± 25,6% del defecto a los 8 meses. Teniendo una tasa de complicaciones del 10,5% (Exposición temprana de la malla de titanio). La colocación </w:t>
      </w:r>
      <w:r w:rsidRPr="004836AF">
        <w:rPr>
          <w:color w:val="292526"/>
        </w:rPr>
        <w:lastRenderedPageBreak/>
        <w:t>de los imp</w:t>
      </w:r>
      <w:r w:rsidR="00AD2362">
        <w:rPr>
          <w:color w:val="292526"/>
        </w:rPr>
        <w:t>lantes</w:t>
      </w:r>
      <w:r w:rsidRPr="004836AF">
        <w:rPr>
          <w:color w:val="292526"/>
        </w:rPr>
        <w:t xml:space="preserve"> fue en etapas. La adición de </w:t>
      </w:r>
      <w:proofErr w:type="spellStart"/>
      <w:r w:rsidRPr="004836AF">
        <w:rPr>
          <w:color w:val="292526"/>
        </w:rPr>
        <w:t>FCDPrh</w:t>
      </w:r>
      <w:proofErr w:type="spellEnd"/>
      <w:r w:rsidRPr="004836AF">
        <w:rPr>
          <w:color w:val="292526"/>
        </w:rPr>
        <w:t xml:space="preserve"> se hizo esperando su función </w:t>
      </w:r>
      <w:proofErr w:type="spellStart"/>
      <w:r w:rsidRPr="004836AF">
        <w:rPr>
          <w:color w:val="292526"/>
        </w:rPr>
        <w:t>quimiotáctica</w:t>
      </w:r>
      <w:proofErr w:type="spellEnd"/>
      <w:r w:rsidRPr="004836AF">
        <w:rPr>
          <w:color w:val="292526"/>
        </w:rPr>
        <w:t xml:space="preserve"> y </w:t>
      </w:r>
      <w:proofErr w:type="spellStart"/>
      <w:r w:rsidRPr="004836AF">
        <w:rPr>
          <w:color w:val="292526"/>
        </w:rPr>
        <w:t>mitogénica</w:t>
      </w:r>
      <w:proofErr w:type="spellEnd"/>
      <w:r w:rsidRPr="004836AF">
        <w:rPr>
          <w:color w:val="292526"/>
        </w:rPr>
        <w:t xml:space="preserve"> para las células </w:t>
      </w:r>
      <w:proofErr w:type="spellStart"/>
      <w:r w:rsidRPr="004836AF">
        <w:rPr>
          <w:color w:val="292526"/>
        </w:rPr>
        <w:t>mesenquimales</w:t>
      </w:r>
      <w:proofErr w:type="spellEnd"/>
      <w:r w:rsidRPr="004836AF">
        <w:rPr>
          <w:color w:val="292526"/>
        </w:rPr>
        <w:t xml:space="preserve"> y como promotor de la angiogénesis. Sin embargo no encontraron efectos directos en la diferenciación </w:t>
      </w:r>
      <w:proofErr w:type="spellStart"/>
      <w:r w:rsidRPr="004836AF">
        <w:rPr>
          <w:color w:val="292526"/>
        </w:rPr>
        <w:t>osteoblástica</w:t>
      </w:r>
      <w:proofErr w:type="spellEnd"/>
      <w:r w:rsidRPr="004836AF">
        <w:rPr>
          <w:color w:val="292526"/>
        </w:rPr>
        <w:t xml:space="preserve"> ni en la regeneración ósea</w:t>
      </w:r>
      <w:r w:rsidR="00B45DEF">
        <w:rPr>
          <w:color w:val="292526"/>
        </w:rPr>
        <w:t xml:space="preserve"> </w:t>
      </w:r>
      <w:r w:rsidR="00B45DEF">
        <w:rPr>
          <w:color w:val="292526"/>
        </w:rPr>
        <w:fldChar w:fldCharType="begin" w:fldLock="1"/>
      </w:r>
      <w:r w:rsidR="00B45DEF">
        <w:rPr>
          <w:color w:val="292526"/>
        </w:rPr>
        <w:instrText>ADDIN CSL_CITATION {"citationItems":[{"id":"ITEM-1","itemData":{"DOI":"10.11607/prd.1460","ISSN":"01987569","abstract":"The purpose of this case series was to report the clinical outcomes and histologic findings of vertical ridge augmentation using a combination of titanium mesh, resorbable collagen membrane, and recombinant human platelet-derived growth factor BB (rhPDGF-BB). Nineteen patients were included, and autogenous bone and anorganic bovine bone particles were used. The bone graft was mixed with rhPDGF-BB and loaded onto the bony defect up to the level of the adjacent alveolar crest. A pre-adapted titanium mesh was placed over the grafted region and covered with a resorbable collagen membrane, leaving no areas of the grafted region exposed. Seventeen patients exhibited good soft tissue healing. Postoperative flap dehiscence occurred relatively early in the healing period in one patient, whereas the covering collagen membrane was exposed during the later phase of the healing period in another. During reentry surgery for removal of the titanium mesh, three patients with favorable soft and hard tissue healing underwent bone biopsies for histologic evaluation of the augmented tissue just below the titanium mesh. The mean vertical height of augmented bone was 8.6 ± 4.0 mm. This report demonstrates the remarkable efficacy of guided bone regeneration using a combination of titanium mesh, resorbable collagen membrane, and rhPDGF for vertical ridge augmentation, thus expanding the indications for implant therapy and allowing recovery of the three-dimensional esthetic architecture in a severely absorbed alveolar ridge.","author":[{"dropping-particle":"","family":"Funato","given":"Akiyoshi","non-dropping-particle":"","parse-names":false,"suffix":""},{"dropping-particle":"","family":"Ishikawa","given":"Tomohiro","non-dropping-particle":"","parse-names":false,"suffix":""},{"dropping-particle":"","family":"Kitajima","given":"Hajime","non-dropping-particle":"","parse-names":false,"suffix":""},{"dropping-particle":"","family":"Yamada","given":"Masahiro","non-dropping-particle":"","parse-names":false,"suffix":""},{"dropping-particle":"","family":"Moroi","given":"Hidetada","non-dropping-particle":"","parse-names":false,"suffix":""}],"container-title":"The International Journal of Periodontics and Restorative Dentistry","id":"ITEM-1","issue":"4","issued":{"date-parts":[["2013","7"]]},"page":"437-445","publisher":"Quintessence Publishing","title":"A Novel Combined Surgical Approach to Vertical Alveolar Ridge Augmentation with Titanium Mesh, Resorbable Membrane, and rhPDGF-BB: A Retrospective Consecutive Case Series","type":"article-journal","volume":"33"},"uris":["http://www.mendeley.com/documents/?uuid=f7e6da5e-a577-37bd-8ff2-cafda5a2ad6e"]}],"mendeley":{"formattedCitation":"(41)","plainTextFormattedCitation":"(41)","previouslyFormattedCitation":"(41)"},"properties":{"noteIndex":0},"schema":"https://github.com/citation-style-language/schema/raw/master/csl-citation.json"}</w:instrText>
      </w:r>
      <w:r w:rsidR="00B45DEF">
        <w:rPr>
          <w:color w:val="292526"/>
        </w:rPr>
        <w:fldChar w:fldCharType="separate"/>
      </w:r>
      <w:r w:rsidR="00B45DEF" w:rsidRPr="00B45DEF">
        <w:rPr>
          <w:noProof/>
          <w:color w:val="292526"/>
        </w:rPr>
        <w:t>(41)</w:t>
      </w:r>
      <w:r w:rsidR="00B45DEF">
        <w:rPr>
          <w:color w:val="292526"/>
        </w:rPr>
        <w:fldChar w:fldCharType="end"/>
      </w:r>
      <w:r w:rsidRPr="004836AF">
        <w:rPr>
          <w:color w:val="292526"/>
        </w:rPr>
        <w:t xml:space="preserve">. </w:t>
      </w:r>
    </w:p>
    <w:p w14:paraId="36A83012" w14:textId="25AB9DD6" w:rsidR="00B45DEF" w:rsidRDefault="00117609" w:rsidP="004836AF">
      <w:pPr>
        <w:spacing w:before="240" w:after="240" w:line="360" w:lineRule="auto"/>
        <w:jc w:val="both"/>
      </w:pPr>
      <w:r w:rsidRPr="004836AF">
        <w:t xml:space="preserve">En 2014 Mauro </w:t>
      </w:r>
      <w:proofErr w:type="spellStart"/>
      <w:r w:rsidRPr="004836AF">
        <w:t>Merli</w:t>
      </w:r>
      <w:proofErr w:type="spellEnd"/>
      <w:r w:rsidRPr="004836AF">
        <w:t xml:space="preserve"> y colaboradores publicaron un ECCA doble ciego en paralelo, con el objetivo de comparar la eficacia de dos técnicas para el aumento vertical del reborde con hueso autólogo particulado y colocación simultánea del implante en pacientes parcialmente </w:t>
      </w:r>
      <w:proofErr w:type="spellStart"/>
      <w:r w:rsidRPr="004836AF">
        <w:t>edéntulos</w:t>
      </w:r>
      <w:proofErr w:type="spellEnd"/>
      <w:r w:rsidRPr="004836AF">
        <w:t xml:space="preserve"> con un seguimiento de 6 años. El grupo de estudio consistió en 11 pacientes a los que se les colocaron implantes, hueso autólogo particulado contenido por una malla de titanio y cubierto por una membrana de colágeno no reticulado. En grupo control de 11 pacientes la variante estaba en que se cubría el injerto con una membrana de PTFE-e reforzada con estructura de titanio. Luego de 5 meses las barreras fueron removidas y a los 7 meses las coronas metal cerámica fueron instaladas. Pasados los 6 años del estudio no encontraron diferencias significativas entre el grupo de estudio y el control con respecto a los niveles óseos radiográficos y complicaciones tanto del implante como de la rehabilitación</w:t>
      </w:r>
      <w:r w:rsidR="00B45DEF">
        <w:t xml:space="preserve"> </w:t>
      </w:r>
      <w:r w:rsidR="00B45DEF">
        <w:fldChar w:fldCharType="begin" w:fldLock="1"/>
      </w:r>
      <w:r w:rsidR="00B45DEF">
        <w:instrText>ADDIN CSL_CITATION {"citationItems":[{"id":"ITEM-1","itemData":{"DOI":"10.11607/jomi.3203","ISSN":"08822786","abstract":"Purpose: To compare the efficacy of two different techniques for vertical bone regeneration at implant placement with particulate autogenous bone at 6 years after loading by means of a double-blind, superiority, parallel-group randomized clinical trial. Materials and Methods: The study was conducted in a private center in Italy between April 2004 and December 2011. Patients in whom vertical bone augmentation was indicated in combination with the placement of single or multiple implants were eligible for inclusion in this trial. Patients were randomized to receive either resorbable collagen barriers supported by an osteosynthesis plate (test group) or nonresorbable titanium-reinforced expanded polytetrafluoroethylene barriers (control group). The outcome variables—radiographic bone variation at implant sites, implant failures, and complications— were evaluated 6 years after loading. Randomization was done by computer, with allocation concealed by opaque sequentially numbered sealed envelopes. The patients and the radiographic examiner were blinded to group assignment. Results: Twenty-two patients were randomized: 11 to the resorbable barrier group and 11 to the nonresorbable (control) group. One control group patient dropped out. The mean bone level 6 years after surgery was 1.33 mm for the resorbable group and 1.00 mm for the nonresorbable group. The adjusted difference in bone changes between groups was 0.15 mm (95% confidence interval, –0.39 to 0.69, P = .5713). No implant failures or complications occurred after loading. Conclusion: No differences were observed in this comparison of resorbable and nonresorbable barriers with simultaneous implant placement for vertical ridge augmentation [ABSTRACT FROM AUTHOR]","author":[{"dropping-particle":"","family":"Merli","given":"Mauro","non-dropping-particle":"","parse-names":false,"suffix":""},{"dropping-particle":"","family":"Moscatelli","given":"Marco","non-dropping-particle":"","parse-names":false,"suffix":""},{"dropping-particle":"","family":"Mariotti","given":"Giorgia","non-dropping-particle":"","parse-names":false,"suffix":""},{"dropping-particle":"","family":"Rotundo","given":"Roberto","non-dropping-particle":"","parse-names":false,"suffix":""},{"dropping-particle":"","family":"Bernardelli","given":"Francesco","non-dropping-particle":"","parse-names":false,"suffix":""},{"dropping-particle":"","family":"Nieri","given":"Michele","non-dropping-particle":"","parse-names":false,"suffix":""}],"container-title":"The International Journal of Oral &amp; Maxillofacial Implants","id":"ITEM-1","issue":"4","issued":{"date-parts":[["2014"]]},"page":"905-913","title":"Bone Level Variation After Vertical Ridge Augmentation: Resorbable Barriers Versus Titanium-Reinforced Barriers. A 6-Year Double-Blind Randomized Clinical Trial","type":"article-journal","volume":"29"},"uris":["http://www.mendeley.com/documents/?uuid=4d66438a-9dbe-4833-88e7-1d1337b04985"]}],"mendeley":{"formattedCitation":"(42)","plainTextFormattedCitation":"(42)","previouslyFormattedCitation":"(42)"},"properties":{"noteIndex":0},"schema":"https://github.com/citation-style-language/schema/raw/master/csl-citation.json"}</w:instrText>
      </w:r>
      <w:r w:rsidR="00B45DEF">
        <w:fldChar w:fldCharType="separate"/>
      </w:r>
      <w:r w:rsidR="00B45DEF" w:rsidRPr="00B45DEF">
        <w:rPr>
          <w:noProof/>
        </w:rPr>
        <w:t>(42)</w:t>
      </w:r>
      <w:r w:rsidR="00B45DEF">
        <w:fldChar w:fldCharType="end"/>
      </w:r>
      <w:r w:rsidRPr="004836AF">
        <w:t xml:space="preserve">. </w:t>
      </w:r>
    </w:p>
    <w:p w14:paraId="655C94DD" w14:textId="1E66615C" w:rsidR="003624E0" w:rsidRDefault="003624E0" w:rsidP="004836AF">
      <w:pPr>
        <w:spacing w:before="240" w:after="240" w:line="360" w:lineRule="auto"/>
        <w:jc w:val="both"/>
      </w:pPr>
      <w:r w:rsidRPr="004836AF">
        <w:t xml:space="preserve">Por muchos años el </w:t>
      </w:r>
      <w:proofErr w:type="spellStart"/>
      <w:r w:rsidRPr="004836AF">
        <w:t>PTFEe</w:t>
      </w:r>
      <w:proofErr w:type="spellEnd"/>
      <w:r w:rsidRPr="004836AF">
        <w:t xml:space="preserve"> ha sido considerado como el </w:t>
      </w:r>
      <w:r w:rsidR="00AD2362">
        <w:t>patrón de referencia</w:t>
      </w:r>
      <w:r w:rsidRPr="004836AF">
        <w:t xml:space="preserve"> en lo que respecta al AVR </w:t>
      </w:r>
      <w:r>
        <w:fldChar w:fldCharType="begin" w:fldLock="1"/>
      </w:r>
      <w:r>
        <w:instrText>ADDIN CSL_CITATION {"citationItems":[{"id":"ITEM-1","itemData":{"DOI":"10.1111/j.1600-0501.2008.01634.x","ISSN":"09057161","abstract":"OBJECTIVES The use of barrier membranes in guided bone regeneration (GBR) procedures for the treatment of alveolar bone defects is common practice. The objective of this study was to test whether a synthetic bioresorbable polyethylene glycol (PEG) hydrogel membrane could result in a similar amount of vertical bone fill as a standard collagen membrane, both combined with a membrane supporting material. MATERIAL AND METHODS The study enrolled 37 patients requiring implant treatment with an expected osseous defect in the posterior maxilla or mandible. After raising a mucoperiosteal flap, the implant sites were prepared and dental implants placed. The defect height was then measured and defects &lt;3 mm were excluded from the study. Defects were grafted with bovine bone mineral and randomly covered with either a collagen membrane (control group, 18 patients) or a PEG hydrogel membrane (test group, 19 patients), which is applied as a liquid. After a healing period of 6 months, surgical re-entry was performed and the change in vertical bone height from baseline evaluated. RESULTS Well-vascularized hard tissue was apparent at all sites and the regenerated bone was similar to the surrounding native bone. Mean vertical defect fill after 6 months was 5.63+/-1.84 mm at test sites and 4.25+/-1.16 mm at control sites, and the mean defect fills were 94.9% and 96.4% at test and control sites, respectively. More soft tissue complications were observed with the PEG membrane (e.g., delayed or incomplete wound healing) but all sites recovered uneventfully. CONCLUSIONS The new PEG hydrogel membrane was as successful as a standard collagen membrane in the treatment of bony dehiscence defects around dental implants with simplified clinical handling.","author":[{"dropping-particle":"","family":"Jung","given":"Ronald E.","non-dropping-particle":"","parse-names":false,"suffix":""},{"dropping-particle":"","family":"Hälg","given":"Gian A.","non-dropping-particle":"","parse-names":false,"suffix":""},{"dropping-particle":"","family":"Thoma","given":"Daniel S.","non-dropping-particle":"","parse-names":false,"suffix":""},{"dropping-particle":"","family":"Hämmerle","given":"Christoph H.F.","non-dropping-particle":"","parse-names":false,"suffix":""}],"container-title":"Clinical Oral Implants Research","id":"ITEM-1","issue":"2","issued":{"date-parts":[["2009"]]},"page":"162-168","title":"A randomized, controlled clinical trial to evaluate a new membrane for guided bone regeneration around dental implants","type":"article-journal","volume":"20"},"uris":["http://www.mendeley.com/documents/?uuid=bc07fec1-9681-4098-872d-b23d27de959c"]}],"mendeley":{"formattedCitation":"(43)","plainTextFormattedCitation":"(43)","previouslyFormattedCitation":"(43)"},"properties":{"noteIndex":0},"schema":"https://github.com/citation-style-language/schema/raw/master/csl-citation.json"}</w:instrText>
      </w:r>
      <w:r>
        <w:fldChar w:fldCharType="separate"/>
      </w:r>
      <w:r w:rsidRPr="00B45DEF">
        <w:rPr>
          <w:noProof/>
        </w:rPr>
        <w:t>(43)</w:t>
      </w:r>
      <w:r>
        <w:fldChar w:fldCharType="end"/>
      </w:r>
      <w:r>
        <w:t xml:space="preserve">. Por lo que </w:t>
      </w:r>
      <w:r w:rsidR="00117609" w:rsidRPr="004836AF">
        <w:t xml:space="preserve">a evolución de </w:t>
      </w:r>
      <w:r>
        <w:t xml:space="preserve">las mismas </w:t>
      </w:r>
      <w:r w:rsidR="00117609" w:rsidRPr="004836AF">
        <w:t xml:space="preserve"> empujó a los investigadores a realizar nuevos estudios que soportaran la teoría de la obtención de mejores resultados con su uso. Para ello Ronda realiza un ECCA comparando el comportamiento de las membranas de PTFE-d y de PTFE-e en su efectividad para el AVR con ROG. En pacientes parcialmente dentados con menos de 7 mm de distancia al nervio alveolar inferior fueron colocados implantes, el relleno de 50%  hueso autólogo y 50% de aloinjerto aleatoriamente fue cubierto por </w:t>
      </w:r>
      <w:proofErr w:type="spellStart"/>
      <w:r w:rsidR="00117609" w:rsidRPr="004836AF">
        <w:t>PTFEe</w:t>
      </w:r>
      <w:proofErr w:type="spellEnd"/>
      <w:r w:rsidR="00117609" w:rsidRPr="004836AF">
        <w:t xml:space="preserve"> (control) o </w:t>
      </w:r>
      <w:proofErr w:type="spellStart"/>
      <w:r w:rsidR="00117609" w:rsidRPr="004836AF">
        <w:t>PTFEd</w:t>
      </w:r>
      <w:proofErr w:type="spellEnd"/>
      <w:r w:rsidR="00117609" w:rsidRPr="004836AF">
        <w:t xml:space="preserve"> (estudio) en 26 pacientes. Luego de 6 meses de espera retiraron las membranas y se re</w:t>
      </w:r>
      <w:r w:rsidR="00FE3F57">
        <w:t>a</w:t>
      </w:r>
      <w:r w:rsidR="00117609" w:rsidRPr="004836AF">
        <w:t>lizaron las mediciones. No encontraron diferencias significativas entre el grupo de estudio (</w:t>
      </w:r>
      <w:proofErr w:type="spellStart"/>
      <w:r w:rsidR="00117609" w:rsidRPr="004836AF">
        <w:t>5,49mm±1,58mm</w:t>
      </w:r>
      <w:proofErr w:type="spellEnd"/>
      <w:r w:rsidR="00117609" w:rsidRPr="004836AF">
        <w:t>) y el grupo control (</w:t>
      </w:r>
      <w:proofErr w:type="spellStart"/>
      <w:r w:rsidR="00117609" w:rsidRPr="004836AF">
        <w:t>4,91mm</w:t>
      </w:r>
      <w:proofErr w:type="spellEnd"/>
      <w:r w:rsidR="00117609" w:rsidRPr="004836AF">
        <w:t xml:space="preserve">± </w:t>
      </w:r>
      <w:proofErr w:type="spellStart"/>
      <w:r w:rsidR="00117609" w:rsidRPr="004836AF">
        <w:t>1,78mm</w:t>
      </w:r>
      <w:proofErr w:type="spellEnd"/>
      <w:r w:rsidR="00117609" w:rsidRPr="004836AF">
        <w:t xml:space="preserve">). Observaron una mayor facilidad de retiro de la membrana de PTFE-d por lo pequeño de los poros y su falta de integración a los tejidos. Plantean la posibilidad de un mejor manejo de las exposiciones con dicha membrana en cuanto a la infección debido a su baja porosidad. Por lo que soportan el uso de PTFE-d en el AVR en mandíbula atrófica </w:t>
      </w:r>
      <w:r>
        <w:fldChar w:fldCharType="begin" w:fldLock="1"/>
      </w:r>
      <w:r>
        <w:instrText>ADDIN CSL_CITATION {"citationItems":[{"id":"ITEM-1","itemData":{"DOI":"10.1111/clr.12157","ISSN":"16000501","abstract":"OBJECTIVE This prospective randomized controlled trial was designed to test the performance of titanium-reinforced dense polytetrafluoroethylene (d-PTFE) membrane vs. titanium-reinforced expanded polytetrafluoroethylene (e-PTFE) membrane in achieving vertical bone regeneration, both associated with a composite grafting material. MATERIAL AND METHODS The study enrolled 23 patients requiring bone augmentation with guided bone regeneration (GBR) procedures for placing implants in atrophic posterior mandibles (available bone height &lt;7 mm). Implants were inserted and left to protrude from the bone level to achieve the programmed amount of vertical regeneration. Defects were filled with a composite bone graft (50% autologous bone and 50% mineralized bone allograft) and randomly covered with either an e-PTFE membrane (control) or a d-PTFE membrane (test). Membrane removal was performed after 6 months, and changes in bone height were recorded. RESULTS Seventy-eight implants were inserted in 26 mandibular sites contextually to vertical ridge augmentation procedures. The healing period was uneventful in all sites, and the vertical defects were satisfactorily filled with a newly formed hard tissue. Mean defect fill after 6 months was 5.49 mm (SD ± 1.58) at test sites and 4.91 mm (SD ± 1.78) at control sites. The normalized data (percentage changes against baseline) did not show any statistically significant difference between test and control groups (P = NS). CONCLUSIONS Based on the data from this study, both d-PTFE and e-PTFE membranes showed identical clinical results in the treatment of vertical bone defects around implants, using the GBR technique. The membrane removal procedure was easier to perform in the d-PTFE group than in the e-PTFE group.","author":[{"dropping-particle":"","family":"Ronda","given":"Marco","non-dropping-particle":"","parse-names":false,"suffix":""},{"dropping-particle":"","family":"Rebaudi","given":"Alberto","non-dropping-particle":"","parse-names":false,"suffix":""},{"dropping-particle":"","family":"Torelli","given":"Lucio","non-dropping-particle":"","parse-names":false,"suffix":""},{"dropping-particle":"","family":"Stacchi","given":"Claudio","non-dropping-particle":"","parse-names":false,"suffix":""}],"container-title":"Clinical Oral Implants Research","id":"ITEM-1","issue":"7","issued":{"date-parts":[["2014"]]},"page":"859-866","title":"Expanded vs. dense polytetrafluoroethylene membranes in vertical ridge augmentation around dental implants: A prospective randomized controlled clinical trial","type":"article-journal","volume":"25"},"uris":["http://www.mendeley.com/documents/?uuid=ad7492fd-9b4c-4933-9777-799efda38cd1"]}],"mendeley":{"formattedCitation":"(44)","plainTextFormattedCitation":"(44)","previouslyFormattedCitation":"(44)"},"properties":{"noteIndex":0},"schema":"https://github.com/citation-style-language/schema/raw/master/csl-citation.json"}</w:instrText>
      </w:r>
      <w:r>
        <w:fldChar w:fldCharType="separate"/>
      </w:r>
      <w:r w:rsidRPr="003624E0">
        <w:rPr>
          <w:noProof/>
        </w:rPr>
        <w:t>(44)</w:t>
      </w:r>
      <w:r>
        <w:fldChar w:fldCharType="end"/>
      </w:r>
    </w:p>
    <w:p w14:paraId="637F7058" w14:textId="4D65BDA9" w:rsidR="005E334C" w:rsidRPr="004836AF" w:rsidRDefault="00117609" w:rsidP="004836AF">
      <w:pPr>
        <w:spacing w:before="240" w:after="240" w:line="360" w:lineRule="auto"/>
        <w:jc w:val="both"/>
      </w:pPr>
      <w:r w:rsidRPr="004836AF">
        <w:t xml:space="preserve">En 2014 </w:t>
      </w:r>
      <w:proofErr w:type="spellStart"/>
      <w:r w:rsidRPr="004836AF">
        <w:t>Urban</w:t>
      </w:r>
      <w:proofErr w:type="spellEnd"/>
      <w:r w:rsidRPr="004836AF">
        <w:t xml:space="preserve"> publica un estudio prospectivo de serie de casos  en el que  evalúa el aumento vertical del reborde utilizando la técnica de ROG con hueso autólogo y </w:t>
      </w:r>
      <w:r w:rsidRPr="004836AF">
        <w:lastRenderedPageBreak/>
        <w:t xml:space="preserve">xenoinjerto 1:1 cubierto por una membrana de PTFE-d. En cuanto a los sitios tratados tuvieron una excelente formación ósea con un promedio de </w:t>
      </w:r>
      <w:proofErr w:type="spellStart"/>
      <w:r w:rsidRPr="004836AF">
        <w:t>5,45mm</w:t>
      </w:r>
      <w:proofErr w:type="spellEnd"/>
      <w:r w:rsidRPr="004836AF">
        <w:t xml:space="preserve"> ± </w:t>
      </w:r>
      <w:proofErr w:type="spellStart"/>
      <w:r w:rsidRPr="004836AF">
        <w:t>1,93mm</w:t>
      </w:r>
      <w:proofErr w:type="spellEnd"/>
      <w:r w:rsidRPr="004836AF">
        <w:t xml:space="preserve"> de ganancia vertical sin reabsorción ósea durante el período de seguimiento. Durante el tiempo de consolidación no hubo complicaciones como exposición de la membrana, infección o morbilidad del sitio donante. Hubo inflamación importante a las </w:t>
      </w:r>
      <w:proofErr w:type="spellStart"/>
      <w:r w:rsidRPr="004836AF">
        <w:t>48hs</w:t>
      </w:r>
      <w:proofErr w:type="spellEnd"/>
      <w:r w:rsidRPr="004836AF">
        <w:t xml:space="preserve"> que remit</w:t>
      </w:r>
      <w:r w:rsidR="00FE3F57">
        <w:t>i</w:t>
      </w:r>
      <w:r w:rsidRPr="004836AF">
        <w:t xml:space="preserve">ó gradualmente, desapareciendo a los 10 días. Los resultados histomorfométricos a los 8 meses demostraron que el hueso autólogo o regenerado representó un 36,6% de lo que el 19,6% era hueso neo formado y 17% hueso injertado en continua remodelación. El 16,6% correspondió al xenoinjerto que se presentó conectado a una red densa de hueso nuevo con distintos niveles de maduración. En todos los casos el espacio medular estaba bien </w:t>
      </w:r>
      <w:proofErr w:type="spellStart"/>
      <w:r w:rsidRPr="004836AF">
        <w:t>perfundido</w:t>
      </w:r>
      <w:proofErr w:type="spellEnd"/>
      <w:r w:rsidRPr="004836AF">
        <w:t xml:space="preserve"> por vasos sanguíneos. Al no haber tenido exposición de la membrana no se pudo corroborar el mejor comportamiento de la membrana en cuanto a la posible contaminación. Los resultados favorables con adición del xenoinjerto al hueso autólogo soportan el uso de esta técnica apuntando a la menor morbilidad del sitio donante y </w:t>
      </w:r>
      <w:proofErr w:type="spellStart"/>
      <w:r w:rsidRPr="004836AF">
        <w:t>discomort</w:t>
      </w:r>
      <w:proofErr w:type="spellEnd"/>
      <w:r w:rsidRPr="004836AF">
        <w:t xml:space="preserve"> del paciente, incrementando su satisfacción con el proceso regenerativo</w:t>
      </w:r>
      <w:r w:rsidR="003624E0">
        <w:fldChar w:fldCharType="begin" w:fldLock="1"/>
      </w:r>
      <w:r w:rsidR="003624E0">
        <w:instrText>ADDIN CSL_CITATION {"citationItems":[{"id":"ITEM-1","itemData":{"DOI":"10.11607/jomi.3346","ISSN":"19424434","abstract":"Urban et al. avaliam o uso de membranas não absorvíveis reforçadas por titânio (politetrafluoretileno de alta densidade) em combinação com uma mistura de osso bovino inorgânico e osso particulado autógeno, para aumento vertical de cristas auveolares deficientes. Dentro das limitações deste estudo, o tratamento com osso autógeno associado a osso inorgânico bovino e membrana reforçada com titânio pode ser considerado um sucesso. A avaliação histológica mostrou que o osso bovino inorgânico, as partículas de derivado mineral foram conectadas com a densa rede de neoosso formado de diferentes graus de maturação. Entretanto mais estudos clínicos padronizados e controlados são necessários para promover esta membrana investigada, assim como outros substitutos ósseos, se podem suportar a cicatrização, da mesma forma em que foi demonstrado neste estudo.","author":[{"dropping-particle":"","family":"Urban","given":"Istvan A.","non-dropping-particle":"","parse-names":false,"suffix":""},{"dropping-particle":"","family":"Lozada","given":"Jaime L.","non-dropping-particle":"","parse-names":false,"suffix":""},{"dropping-particle":"","family":"Jovanovic","given":"Sascha A.","non-dropping-particle":"","parse-names":false,"suffix":""},{"dropping-particle":"","family":"Nagursky","given":"Heiner","non-dropping-particle":"","parse-names":false,"suffix":""},{"dropping-particle":"","family":"Nagy","given":"Katalin","non-dropping-particle":"","parse-names":false,"suffix":""}],"container-title":"The International journal of oral &amp; maxillofacial implants","id":"ITEM-1","issue":"1","issued":{"date-parts":[["2014"]]},"page":"185-193","title":"Vertical ridge augmentation with titanium-reinforced, dense-PTFE membranes and a combination of particulated autogenous bone and anorganic bovine bone-derived mineral: a prospective case series in 19 patients.","type":"article-journal","volume":"29"},"uris":["http://www.mendeley.com/documents/?uuid=e30fa05d-6e45-3777-a2f6-df1766e2fb93"]}],"mendeley":{"formattedCitation":"(45)","plainTextFormattedCitation":"(45)","previouslyFormattedCitation":"(45)"},"properties":{"noteIndex":0},"schema":"https://github.com/citation-style-language/schema/raw/master/csl-citation.json"}</w:instrText>
      </w:r>
      <w:r w:rsidR="003624E0">
        <w:fldChar w:fldCharType="separate"/>
      </w:r>
      <w:r w:rsidR="003624E0" w:rsidRPr="003624E0">
        <w:rPr>
          <w:noProof/>
        </w:rPr>
        <w:t>(45)</w:t>
      </w:r>
      <w:r w:rsidR="003624E0">
        <w:fldChar w:fldCharType="end"/>
      </w:r>
      <w:r w:rsidR="00FE3F57">
        <w:t>.</w:t>
      </w:r>
    </w:p>
    <w:p w14:paraId="2B05DE13" w14:textId="53DB77B7" w:rsidR="005E334C" w:rsidRPr="004836AF" w:rsidRDefault="00117609" w:rsidP="004836AF">
      <w:pPr>
        <w:spacing w:before="240" w:after="240" w:line="360" w:lineRule="auto"/>
        <w:jc w:val="both"/>
        <w:rPr>
          <w:shd w:val="clear" w:color="auto" w:fill="4A86E8"/>
        </w:rPr>
      </w:pPr>
      <w:r w:rsidRPr="004836AF">
        <w:t xml:space="preserve">El tipo de barrera  y sus complicaciones </w:t>
      </w:r>
      <w:proofErr w:type="spellStart"/>
      <w:r w:rsidRPr="004836AF">
        <w:t>tambien</w:t>
      </w:r>
      <w:proofErr w:type="spellEnd"/>
      <w:r w:rsidRPr="004836AF">
        <w:t xml:space="preserve"> fue contrapuesto por un ECCA. En él se estudiaron la ganancia ósea vertical y la tasa de complicaciones en mandíbula atrófica, comparando el uso de una barrera de </w:t>
      </w:r>
      <w:proofErr w:type="spellStart"/>
      <w:r w:rsidRPr="004836AF">
        <w:t>PTFEd</w:t>
      </w:r>
      <w:proofErr w:type="spellEnd"/>
      <w:r w:rsidRPr="004836AF">
        <w:t xml:space="preserve"> reforzada con estructura de titanio (grupo A) versus una membrana de colágeno reticulado soportada por una malla de titanio grupo (B). La colocación de los implantes fue simultánea al injerto con 50% de hueso autólogo y 50% de aloinjerto. Vieron que el grupo A tenía una menor tasa de complicaciones quirúrgicas (parestesia temporal) que el grupo B (5,0% y 15,8% respectivamente) y que  las complicaciones  durante el período de consolidación no eran estadísticamente significativas ( 15,8% y 21,1% respectivamente). En cuanto a la ganancia ósea vertical encontraron resultados similares (</w:t>
      </w:r>
      <w:proofErr w:type="spellStart"/>
      <w:r w:rsidRPr="004836AF">
        <w:t>5,0mm</w:t>
      </w:r>
      <w:proofErr w:type="spellEnd"/>
      <w:r w:rsidRPr="004836AF">
        <w:t xml:space="preserve"> ± </w:t>
      </w:r>
      <w:proofErr w:type="spellStart"/>
      <w:r w:rsidRPr="004836AF">
        <w:t>1.0mm</w:t>
      </w:r>
      <w:proofErr w:type="spellEnd"/>
      <w:r w:rsidRPr="004836AF">
        <w:t xml:space="preserve"> y </w:t>
      </w:r>
      <w:proofErr w:type="spellStart"/>
      <w:r w:rsidRPr="004836AF">
        <w:t>5,1mm</w:t>
      </w:r>
      <w:proofErr w:type="spellEnd"/>
      <w:r w:rsidRPr="004836AF">
        <w:t xml:space="preserve"> ± </w:t>
      </w:r>
      <w:proofErr w:type="spellStart"/>
      <w:r w:rsidRPr="004836AF">
        <w:t>1,4mm</w:t>
      </w:r>
      <w:proofErr w:type="spellEnd"/>
      <w:r w:rsidRPr="004836AF">
        <w:t xml:space="preserve"> grupos A y B respectivamente)</w:t>
      </w:r>
      <w:r w:rsidR="003624E0">
        <w:fldChar w:fldCharType="begin" w:fldLock="1"/>
      </w:r>
      <w:r w:rsidR="003624E0">
        <w:instrText>ADDIN CSL_CITATION {"citationItems":[{"id":"ITEM-1","itemData":{"DOI":"10.1111/cid.12520","ISSN":"17088208","abstract":"© 2017 Wiley Periodicals, Inc. Background: The partial edentulous posterior mandible is often a challenge area that requires a bone reconstructive surgery for implants placement. Purpose: This RCT was aimed to evaluate complications rate and vertical bone gain after Guided Bone Regeneration (GBR) with dense non-resorbable d-PTFE titanium-reinforced membranes (Group A) versus titanium meshes covered by cross-linked collagen membranes (Group B). Material and Methods: 40 partially edentulous patients with atrophic posterior mandible, were randomly divided into two study group: 20 patients were treated with one stage GBR by means of non-resorbable d-PTFE titanium-reinforced membranes (Group A); and 20 patients, by means of titanium mesh covered by cross-linked collagen membranes (Group B). All complications were recorded, distinguishing between \"surgical\" and \"healing\" and between \"minor\" or \"major.\". Primary implants stability and vertical bone gain were also evaluated. Results: In the group A, surgical and healing complication rates were 5.0% and 15.0%, respectively. In the group B, surgical and healing complication rates were 15.8% and 21.1%, respectively. No significant differences between two study group were observed regarding complications rate implant stability and vertical bone gain. Conclusions: Both GBR approaches for the restoration of atrophic posterior mandible achieved similar results regarding complications, vertical bone gain and implant stability.","author":[{"dropping-particle":"","family":"Cucchi","given":"Alessandro","non-dropping-particle":"","parse-names":false,"suffix":""},{"dropping-particle":"","family":"Vignudelli","given":"Elisabetta","non-dropping-particle":"","parse-names":false,"suffix":""},{"dropping-particle":"","family":"Napolitano","given":"Aldo","non-dropping-particle":"","parse-names":false,"suffix":""},{"dropping-particle":"","family":"Marchetti","given":"Claudio","non-dropping-particle":"","parse-names":false,"suffix":""},{"dropping-particle":"","family":"Corinaldesi","given":"Giuseppe","non-dropping-particle":"","parse-names":false,"suffix":""}],"container-title":"Clinical Implant Dentistry and Related Research","id":"ITEM-1","issue":"5","issued":{"date-parts":[["2017","10","1"]]},"page":"821-832","publisher":"Blackwell Publishing Ltd","title":"Evaluation of complication rates and vertical bone gain after guided bone regeneration with non-resorbable membranes versus titanium meshes and resorbable membranes. A randomized clinical trial","type":"article-journal","volume":"19"},"uris":["http://www.mendeley.com/documents/?uuid=0aaa6e89-ae41-3822-abd2-47961c0f3253"]}],"mendeley":{"formattedCitation":"(46)","plainTextFormattedCitation":"(46)","previouslyFormattedCitation":"(46)"},"properties":{"noteIndex":0},"schema":"https://github.com/citation-style-language/schema/raw/master/csl-citation.json"}</w:instrText>
      </w:r>
      <w:r w:rsidR="003624E0">
        <w:fldChar w:fldCharType="separate"/>
      </w:r>
      <w:r w:rsidR="003624E0" w:rsidRPr="003624E0">
        <w:rPr>
          <w:noProof/>
        </w:rPr>
        <w:t>(46)</w:t>
      </w:r>
      <w:r w:rsidR="003624E0">
        <w:fldChar w:fldCharType="end"/>
      </w:r>
      <w:r w:rsidR="003624E0">
        <w:t>.</w:t>
      </w:r>
    </w:p>
    <w:p w14:paraId="1B254D48" w14:textId="7961B220" w:rsidR="005E334C" w:rsidRPr="004836AF" w:rsidRDefault="00117609" w:rsidP="004836AF">
      <w:pPr>
        <w:spacing w:before="240" w:after="240" w:line="360" w:lineRule="auto"/>
        <w:jc w:val="both"/>
        <w:rPr>
          <w:shd w:val="clear" w:color="auto" w:fill="4A86E8"/>
        </w:rPr>
      </w:pPr>
      <w:r w:rsidRPr="004836AF">
        <w:t xml:space="preserve">En 2019 </w:t>
      </w:r>
      <w:proofErr w:type="spellStart"/>
      <w:r w:rsidRPr="004836AF">
        <w:t>Cucchi</w:t>
      </w:r>
      <w:proofErr w:type="spellEnd"/>
      <w:r w:rsidRPr="004836AF">
        <w:t xml:space="preserve"> y colaboradores presentan un ECCA en el que comparan histológicamente e </w:t>
      </w:r>
      <w:proofErr w:type="spellStart"/>
      <w:r w:rsidRPr="004836AF">
        <w:t>histomorfométricamente</w:t>
      </w:r>
      <w:proofErr w:type="spellEnd"/>
      <w:r w:rsidRPr="004836AF">
        <w:t xml:space="preserve"> los resultados del AVR con  ROG tanto en mandíbula como en maxilar superior de dos técnicas. En el grupo de estudio  A realizaron una ROG en 20 pacientes con colocación simultánea del implan</w:t>
      </w:r>
      <w:r w:rsidR="003624E0">
        <w:t xml:space="preserve">te </w:t>
      </w:r>
      <w:r w:rsidRPr="004836AF">
        <w:t>cub</w:t>
      </w:r>
      <w:r w:rsidR="00FE3F57">
        <w:t xml:space="preserve">ierto </w:t>
      </w:r>
      <w:r w:rsidRPr="004836AF">
        <w:t xml:space="preserve"> con una membrana de PTFE-d  reforzada con estructura de titanio. En el grupo de estudio B se colocaron los mismos implantes cubiertos con una malla de titanio y por encima de </w:t>
      </w:r>
      <w:r w:rsidR="003624E0">
        <w:t>ella</w:t>
      </w:r>
      <w:r w:rsidRPr="004836AF">
        <w:t xml:space="preserve"> una membrana de colágeno reticulado también en 20 pacientes. En ambos grupos se utilizó una mezcla de autoin</w:t>
      </w:r>
      <w:r w:rsidR="00FE3F57">
        <w:t>j</w:t>
      </w:r>
      <w:r w:rsidRPr="004836AF">
        <w:t xml:space="preserve">erto y aloinjerto particulado 50:50. </w:t>
      </w:r>
      <w:r w:rsidRPr="004836AF">
        <w:lastRenderedPageBreak/>
        <w:t xml:space="preserve">Luego de 9 meses se abrieron los sitios para el retiro de la barrera, exposición del implante y colocación del </w:t>
      </w:r>
      <w:proofErr w:type="spellStart"/>
      <w:r w:rsidRPr="004836AF">
        <w:t>cicatrizal</w:t>
      </w:r>
      <w:proofErr w:type="spellEnd"/>
      <w:r w:rsidRPr="004836AF">
        <w:t>. Encontraron que se había formado hueso en la zona coronal del injerto en ambos grupos. Existía un íntimo contacto entre el material de injerto y el hueso neo</w:t>
      </w:r>
      <w:r w:rsidR="00FE3F57">
        <w:t xml:space="preserve"> </w:t>
      </w:r>
      <w:r w:rsidRPr="004836AF">
        <w:t xml:space="preserve">formado. La penetración del tejido blando a través de las barreras fue comparable entre los dos grupos, sugiriendo que los dos tratamientos previenen la excesiva migración de tejidos no </w:t>
      </w:r>
      <w:proofErr w:type="spellStart"/>
      <w:r w:rsidRPr="004836AF">
        <w:t>osteogénicos</w:t>
      </w:r>
      <w:proofErr w:type="spellEnd"/>
      <w:r w:rsidRPr="004836AF">
        <w:t xml:space="preserve"> al sitio del defecto. En el grupo A la proporción de hueso fue de 39,7%, la de material de injerto de 8,6% y de 52,1% de tejido blando. En el grupo B 42,1%, 9,6% y 48,3% en el mismo orden. No existieron diferencias estadísticamente  significativas entre los grupos. A pesar de esto el grupo B exhibió una diferencia levemente mayor  en la superficie de hueso y menor </w:t>
      </w:r>
      <w:r w:rsidR="003624E0">
        <w:t>á</w:t>
      </w:r>
      <w:r w:rsidRPr="004836AF">
        <w:t>rea de tejido blando que en el grupo A. El autor le adjudicó dicha diferencia  al uso de membranas  reabsorbibles que podría tener una mejor revascularización  y mineralización del injerto, comparado con la membrana de PTFE-d que su efecto oclusivo es mas duradero</w:t>
      </w:r>
      <w:r w:rsidR="003624E0">
        <w:t xml:space="preserve"> </w:t>
      </w:r>
      <w:r w:rsidR="003624E0">
        <w:fldChar w:fldCharType="begin" w:fldLock="1"/>
      </w:r>
      <w:r w:rsidR="003624E0">
        <w:instrText>ADDIN CSL_CITATION {"citationItems":[{"id":"ITEM-1","itemData":{"DOI":"10.1111/cid.12814","ISSN":"17088208","author":[{"dropping-particle":"","family":"Cucchi","given":"Alessandro","non-dropping-particle":"","parse-names":false,"suffix":""},{"dropping-particle":"","family":"Sartori","given":"Maria","non-dropping-particle":"","parse-names":false,"suffix":""},{"dropping-particle":"","family":"Parrilli","given":"Annapaola","non-dropping-particle":"","parse-names":false,"suffix":""},{"dropping-particle":"","family":"Aldini","given":"Nicolò N.","non-dropping-particle":"","parse-names":false,"suffix":""},{"dropping-particle":"","family":"Vignudelli","given":"Elisabetta","non-dropping-particle":"","parse-names":false,"suffix":""},{"dropping-particle":"","family":"Corinaldesi","given":"Giuseppe","non-dropping-particle":"","parse-names":false,"suffix":""}],"container-title":"Clinical Implant Dentistry and Related Research","id":"ITEM-1","issue":"January","issued":{"date-parts":[["2019"]]},"page":"1-9","title":"Histological and histomorphometric analysis of bone tissue after guided bone regeneration with non-resorbable membranes vs resorbable membranes and titanium mesh","type":"article-journal"},"uris":["http://www.mendeley.com/documents/?uuid=900814d7-0f4e-4cd6-a3e5-48dcd2955fac"]}],"mendeley":{"formattedCitation":"(47)","plainTextFormattedCitation":"(47)","previouslyFormattedCitation":"(47)"},"properties":{"noteIndex":0},"schema":"https://github.com/citation-style-language/schema/raw/master/csl-citation.json"}</w:instrText>
      </w:r>
      <w:r w:rsidR="003624E0">
        <w:fldChar w:fldCharType="separate"/>
      </w:r>
      <w:r w:rsidR="003624E0" w:rsidRPr="003624E0">
        <w:rPr>
          <w:noProof/>
        </w:rPr>
        <w:t>(47)</w:t>
      </w:r>
      <w:r w:rsidR="003624E0">
        <w:fldChar w:fldCharType="end"/>
      </w:r>
      <w:r w:rsidRPr="004836AF">
        <w:t>.</w:t>
      </w:r>
    </w:p>
    <w:p w14:paraId="0112767C" w14:textId="526B062C" w:rsidR="005E334C" w:rsidRPr="004836AF" w:rsidRDefault="00117609" w:rsidP="004836AF">
      <w:pPr>
        <w:spacing w:before="240" w:after="240" w:line="360" w:lineRule="auto"/>
        <w:jc w:val="both"/>
      </w:pPr>
      <w:r w:rsidRPr="004836AF">
        <w:t>Otro estudio buscando una técnica que evite la toma de hueso autólogo y la reentrada para el retiro de la malla y los medios de fijación fue publicado. En él se realizó una ROG para el AVR utilizando una membrana de colágeno no reticulado Y matr</w:t>
      </w:r>
      <w:r w:rsidR="00FE3F57">
        <w:t>i</w:t>
      </w:r>
      <w:r w:rsidRPr="004836AF">
        <w:t xml:space="preserve">z de hueso bovino </w:t>
      </w:r>
      <w:proofErr w:type="spellStart"/>
      <w:r w:rsidRPr="004836AF">
        <w:t>desproteinizado</w:t>
      </w:r>
      <w:proofErr w:type="spellEnd"/>
      <w:r w:rsidRPr="004836AF">
        <w:t xml:space="preserve"> (MHBD) con un sistema de fibrina y </w:t>
      </w:r>
      <w:proofErr w:type="spellStart"/>
      <w:r w:rsidRPr="004836AF">
        <w:t>fibronectina</w:t>
      </w:r>
      <w:proofErr w:type="spellEnd"/>
      <w:r w:rsidRPr="004836AF">
        <w:t xml:space="preserve"> como aglutinante al momento de la colocación del implante. Con  una altura media del defecto de </w:t>
      </w:r>
      <w:proofErr w:type="spellStart"/>
      <w:r w:rsidRPr="004836AF">
        <w:t>4,25mm</w:t>
      </w:r>
      <w:proofErr w:type="spellEnd"/>
      <w:r w:rsidRPr="004836AF">
        <w:t xml:space="preserve"> ± </w:t>
      </w:r>
      <w:proofErr w:type="spellStart"/>
      <w:r w:rsidRPr="004836AF">
        <w:t>1,34mm</w:t>
      </w:r>
      <w:proofErr w:type="spellEnd"/>
      <w:r w:rsidRPr="004836AF">
        <w:t xml:space="preserve"> se logró la reducción del mismo a los 6 meses a </w:t>
      </w:r>
      <w:proofErr w:type="spellStart"/>
      <w:r w:rsidRPr="004836AF">
        <w:t>0,3mm</w:t>
      </w:r>
      <w:proofErr w:type="spellEnd"/>
      <w:r w:rsidRPr="004836AF">
        <w:t xml:space="preserve"> ± </w:t>
      </w:r>
      <w:proofErr w:type="spellStart"/>
      <w:r w:rsidRPr="004836AF">
        <w:t>0,54mm</w:t>
      </w:r>
      <w:proofErr w:type="spellEnd"/>
      <w:r w:rsidRPr="004836AF">
        <w:t xml:space="preserve">. En el análisis </w:t>
      </w:r>
      <w:proofErr w:type="spellStart"/>
      <w:r w:rsidRPr="004836AF">
        <w:t>histomorfométrico</w:t>
      </w:r>
      <w:proofErr w:type="spellEnd"/>
      <w:r w:rsidRPr="004836AF">
        <w:t xml:space="preserve"> 30,46% ± 11,50% de nuevo hueso fue formado, con una presencia residual de gránulos de 17,06% ± 13,29%. No habiendo tenido complicaciones quirúrgicas ni durante el período de consolidación del injerto. Identificaron al momento de la descubierta una pequeña capa de 0,5 a </w:t>
      </w:r>
      <w:proofErr w:type="spellStart"/>
      <w:r w:rsidRPr="004836AF">
        <w:t>1mm</w:t>
      </w:r>
      <w:proofErr w:type="spellEnd"/>
      <w:r w:rsidRPr="004836AF">
        <w:t xml:space="preserve"> de tejido conectivo firme sobre el hueso. Esto último atribuible según el autor a </w:t>
      </w:r>
      <w:proofErr w:type="spellStart"/>
      <w:r w:rsidRPr="004836AF">
        <w:t>micromovimientos</w:t>
      </w:r>
      <w:proofErr w:type="spellEnd"/>
      <w:r w:rsidRPr="004836AF">
        <w:t xml:space="preserve"> de la mucosa y la membrana en etapas tempranas de la cicatrización</w:t>
      </w:r>
      <w:r w:rsidR="003624E0">
        <w:t xml:space="preserve"> </w:t>
      </w:r>
      <w:r w:rsidR="003624E0">
        <w:fldChar w:fldCharType="begin" w:fldLock="1"/>
      </w:r>
      <w:r w:rsidR="003624E0">
        <w:instrText>ADDIN CSL_CITATION {"citationItems":[{"id":"ITEM-1","itemData":{"DOI":"10.11607/prd.1208","ISSN":"01987569","abstract":"This study evaluated the treatment of alveolar bone deficiencies combined with dental implant placement. Thirty-five endosseous implants were inserted into 20 patients. After implant placement, the mean height of the supracrestal bone defects measured 4.25 ± 1.34 mm. Bone regeneration procedures were performed using a combination of a bovine bone-derived mineral stabilized with a fibrin-fibronectin sealing system and covered with a bilayered porcine collagen membrane. Healing was uneventful in all instances with maintenance of primary closure throughout the healing period. Stage-two surgery was performed after 6 months, and a hard bonelike tissue was detectable at the defect sites. Histologic examination confirmed the presence of newly formed bone with residual particles of xenograft. The mean bone gain was 3.95 ± 1.47 mm. The positive outcomes in terms of bone regeneration and low complication rate demonstrated the potential of this technique for the treatment of supracrestal ridge deficiencies. Bovine bone mineral combined with a fibrin sealer and protected by a collagen membrane should be considered as an alternative in the treatment of vertical peri-implant bone defects.","author":[{"dropping-particle":"","family":"Cardaropoli","given":"Daniele","non-dropping-particle":"","parse-names":false,"suffix":""},{"dropping-particle":"","family":"Gaveglio","given":"Lorena","non-dropping-particle":"","parse-names":false,"suffix":""},{"dropping-particle":"","family":"Cardaropoli","given":"Giuseppe","non-dropping-particle":"","parse-names":false,"suffix":""}],"container-title":"International Journal of Periodontics and Restorative Dentistry","id":"ITEM-1","issue":"5","issued":{"date-parts":[["2013","9"]]},"page":"583-589","publisher":"Quintessence Publishing","title":"Vertical Ridge Augmentation with a Collagen Membrane, Bovine Bone Mineral and Fibrin Sealer: Clinical and Histologic Findings","type":"article-journal","volume":"33"},"uris":["http://www.mendeley.com/documents/?uuid=94a70c23-9de6-368e-b311-914a460b5406"]}],"mendeley":{"formattedCitation":"(48)","plainTextFormattedCitation":"(48)","previouslyFormattedCitation":"(48)"},"properties":{"noteIndex":0},"schema":"https://github.com/citation-style-language/schema/raw/master/csl-citation.json"}</w:instrText>
      </w:r>
      <w:r w:rsidR="003624E0">
        <w:fldChar w:fldCharType="separate"/>
      </w:r>
      <w:r w:rsidR="003624E0" w:rsidRPr="003624E0">
        <w:rPr>
          <w:noProof/>
        </w:rPr>
        <w:t>(48)</w:t>
      </w:r>
      <w:r w:rsidR="003624E0">
        <w:fldChar w:fldCharType="end"/>
      </w:r>
      <w:r w:rsidRPr="004836AF">
        <w:t xml:space="preserve">. </w:t>
      </w:r>
    </w:p>
    <w:p w14:paraId="3C5836C8" w14:textId="4FF48BC0" w:rsidR="005E334C" w:rsidRPr="004836AF" w:rsidRDefault="00117609" w:rsidP="004836AF">
      <w:pPr>
        <w:spacing w:before="240" w:after="240" w:line="360" w:lineRule="auto"/>
        <w:jc w:val="both"/>
        <w:rPr>
          <w:color w:val="231F20"/>
        </w:rPr>
      </w:pPr>
      <w:r w:rsidRPr="004836AF">
        <w:t xml:space="preserve"> En un estudio con un seguimiento de 13 a 21 años se documentaron los cambios clínicos y radiológicos alrededor de imp</w:t>
      </w:r>
      <w:r w:rsidR="00FE3F57">
        <w:t>l</w:t>
      </w:r>
      <w:r w:rsidRPr="004836AF">
        <w:t>antes maquinados colocados en hueso verticalmente aume</w:t>
      </w:r>
      <w:r w:rsidR="00FE3F57">
        <w:t>n</w:t>
      </w:r>
      <w:r w:rsidRPr="004836AF">
        <w:t>tado con ROG. El relleno de los defectos se</w:t>
      </w:r>
      <w:r w:rsidRPr="004836AF">
        <w:tab/>
        <w:t xml:space="preserve"> realizó con hueso autólogo particulado, autólogo con MHBD o solamente con el coágulo.</w:t>
      </w:r>
      <w:r w:rsidRPr="004836AF">
        <w:rPr>
          <w:color w:val="231F20"/>
        </w:rPr>
        <w:t xml:space="preserve"> Encontró tasas de sobrevida similares a los implantes colocados en hueso nativo (97%) con una reabsorción ósea promedio de </w:t>
      </w:r>
      <w:proofErr w:type="spellStart"/>
      <w:r w:rsidRPr="004836AF">
        <w:rPr>
          <w:color w:val="231F20"/>
        </w:rPr>
        <w:t>1,02mm</w:t>
      </w:r>
      <w:proofErr w:type="spellEnd"/>
      <w:r w:rsidRPr="004836AF">
        <w:rPr>
          <w:color w:val="231F20"/>
        </w:rPr>
        <w:t xml:space="preserve"> con 10% de los implantes con reabsorciones óseas entre </w:t>
      </w:r>
      <w:proofErr w:type="spellStart"/>
      <w:r w:rsidRPr="004836AF">
        <w:rPr>
          <w:color w:val="231F20"/>
        </w:rPr>
        <w:t>2mm</w:t>
      </w:r>
      <w:proofErr w:type="spellEnd"/>
      <w:r w:rsidRPr="004836AF">
        <w:rPr>
          <w:color w:val="231F20"/>
        </w:rPr>
        <w:t xml:space="preserve"> a </w:t>
      </w:r>
      <w:proofErr w:type="spellStart"/>
      <w:r w:rsidRPr="004836AF">
        <w:rPr>
          <w:color w:val="231F20"/>
        </w:rPr>
        <w:t>3mm</w:t>
      </w:r>
      <w:proofErr w:type="spellEnd"/>
      <w:r w:rsidRPr="004836AF">
        <w:rPr>
          <w:color w:val="231F20"/>
        </w:rPr>
        <w:t>. Constataron una tasa levemente mayor de peri</w:t>
      </w:r>
      <w:r w:rsidR="00FE3F57">
        <w:rPr>
          <w:color w:val="231F20"/>
        </w:rPr>
        <w:t>-</w:t>
      </w:r>
      <w:proofErr w:type="spellStart"/>
      <w:r w:rsidRPr="004836AF">
        <w:rPr>
          <w:color w:val="231F20"/>
        </w:rPr>
        <w:t>impantitis</w:t>
      </w:r>
      <w:proofErr w:type="spellEnd"/>
      <w:r w:rsidRPr="004836AF">
        <w:rPr>
          <w:color w:val="231F20"/>
        </w:rPr>
        <w:t xml:space="preserve"> en pacientes con implantes colocados previa ROG frente a los </w:t>
      </w:r>
      <w:r w:rsidRPr="004836AF">
        <w:rPr>
          <w:color w:val="231F20"/>
        </w:rPr>
        <w:lastRenderedPageBreak/>
        <w:t>colocados en hueso nativo (9,9%). Los valores fueron mayores en mandíbula (22%) que en el maxilar superior (1,8%)</w:t>
      </w:r>
      <w:r w:rsidR="003624E0">
        <w:rPr>
          <w:color w:val="231F20"/>
        </w:rPr>
        <w:t xml:space="preserve"> </w:t>
      </w:r>
      <w:r w:rsidR="003624E0">
        <w:rPr>
          <w:color w:val="231F20"/>
        </w:rPr>
        <w:fldChar w:fldCharType="begin" w:fldLock="1"/>
      </w:r>
      <w:r w:rsidR="005221AF">
        <w:rPr>
          <w:color w:val="231F20"/>
        </w:rPr>
        <w:instrText>ADDIN CSL_CITATION {"citationItems":[{"id":"ITEM-1","itemData":{"DOI":"10.11607/prd.2851","ISSN":"01987569","abstract":"The aim of this retrospective clinical trial was to evaluate the performance of 91 turned implants placed in vertically augmented ridges in 33 patients by means of guided bone regeneration techniques after a mean follow-up of 15 years. A total of 88 implants were in function (97% survival rate), whereas 9 showed peri-implantitis (9.9%). A mean radiographic bone loss of 1.02 mm between the baseline evaluation (1 year after loading) and the final visit (13 to 21 years later) was recorded. In conclusion, turned implants placed in vertically augmented bone seem to remain stable after many years of function.","author":[{"dropping-particle":"","family":"Simion","given":"Massimo","non-dropping-particle":"","parse-names":false,"suffix":""},{"dropping-particle":"","family":"Ferrantino","given":"Luca","non-dropping-particle":"","parse-names":false,"suffix":""},{"dropping-particle":"","family":"Idotta","given":"Eleonora","non-dropping-particle":"","parse-names":false,"suffix":""},{"dropping-particle":"","family":"Zarone","given":"Fernando","non-dropping-particle":"","parse-names":false,"suffix":""}],"container-title":"The International Journal of Periodontics &amp; Restorative Dentistry","id":"ITEM-1","issue":"3","issued":{"date-parts":[["2016","5"]]},"page":"309-317","publisher":"Quintessence Publishing","title":"Turned Implants in Vertical Augmented Bone: A Retrospective Study with 13 to 21 Years Follow-Up","type":"article-journal","volume":"36"},"uris":["http://www.mendeley.com/documents/?uuid=d47abf57-0036-368a-a568-2cadf6db4ddb"]}],"mendeley":{"formattedCitation":"(49)","plainTextFormattedCitation":"(49)","previouslyFormattedCitation":"(49)"},"properties":{"noteIndex":0},"schema":"https://github.com/citation-style-language/schema/raw/master/csl-citation.json"}</w:instrText>
      </w:r>
      <w:r w:rsidR="003624E0">
        <w:rPr>
          <w:color w:val="231F20"/>
        </w:rPr>
        <w:fldChar w:fldCharType="separate"/>
      </w:r>
      <w:r w:rsidR="003624E0" w:rsidRPr="003624E0">
        <w:rPr>
          <w:noProof/>
          <w:color w:val="231F20"/>
        </w:rPr>
        <w:t>(49)</w:t>
      </w:r>
      <w:r w:rsidR="003624E0">
        <w:rPr>
          <w:color w:val="231F20"/>
        </w:rPr>
        <w:fldChar w:fldCharType="end"/>
      </w:r>
      <w:r w:rsidRPr="004836AF">
        <w:rPr>
          <w:color w:val="231F20"/>
        </w:rPr>
        <w:t xml:space="preserve">. </w:t>
      </w:r>
    </w:p>
    <w:p w14:paraId="3110B986" w14:textId="77777777" w:rsidR="009519A4" w:rsidRDefault="009519A4" w:rsidP="004836AF">
      <w:pPr>
        <w:spacing w:before="240" w:after="240" w:line="360" w:lineRule="auto"/>
        <w:jc w:val="both"/>
        <w:rPr>
          <w:color w:val="231F20"/>
        </w:rPr>
      </w:pPr>
    </w:p>
    <w:p w14:paraId="05F78472" w14:textId="04AE62CB" w:rsidR="005E334C" w:rsidRPr="00FE3F57" w:rsidRDefault="00117609" w:rsidP="004836AF">
      <w:pPr>
        <w:spacing w:before="240" w:after="240" w:line="360" w:lineRule="auto"/>
        <w:jc w:val="both"/>
        <w:rPr>
          <w:b/>
          <w:sz w:val="24"/>
          <w:szCs w:val="24"/>
        </w:rPr>
      </w:pPr>
      <w:r w:rsidRPr="00FE3F57">
        <w:rPr>
          <w:b/>
          <w:sz w:val="24"/>
          <w:szCs w:val="24"/>
        </w:rPr>
        <w:t>4. Discusión:</w:t>
      </w:r>
    </w:p>
    <w:p w14:paraId="03A0ACC9" w14:textId="77777777" w:rsidR="005E334C" w:rsidRPr="004836AF" w:rsidRDefault="00117609" w:rsidP="004836AF">
      <w:pPr>
        <w:spacing w:before="240" w:after="240" w:line="360" w:lineRule="auto"/>
        <w:jc w:val="both"/>
      </w:pPr>
      <w:r w:rsidRPr="004836AF">
        <w:t xml:space="preserve">Si bien existieron formatos similares, los estudios seleccionados emplearon en general diversos </w:t>
      </w:r>
      <w:proofErr w:type="spellStart"/>
      <w:r w:rsidRPr="004836AF">
        <w:t>diseños</w:t>
      </w:r>
      <w:proofErr w:type="spellEnd"/>
      <w:r w:rsidRPr="004836AF">
        <w:t xml:space="preserve"> </w:t>
      </w:r>
      <w:proofErr w:type="spellStart"/>
      <w:r w:rsidRPr="004836AF">
        <w:t>metodológicos</w:t>
      </w:r>
      <w:proofErr w:type="spellEnd"/>
      <w:r w:rsidRPr="004836AF">
        <w:t xml:space="preserve">, dificultando  </w:t>
      </w:r>
      <w:proofErr w:type="spellStart"/>
      <w:r w:rsidRPr="004836AF">
        <w:t>análisis</w:t>
      </w:r>
      <w:proofErr w:type="spellEnd"/>
      <w:r w:rsidRPr="004836AF">
        <w:t xml:space="preserve"> comparativo. </w:t>
      </w:r>
    </w:p>
    <w:p w14:paraId="4611444E" w14:textId="77777777" w:rsidR="005E334C" w:rsidRPr="004836AF" w:rsidRDefault="00117609" w:rsidP="004836AF">
      <w:pPr>
        <w:spacing w:before="240" w:after="240" w:line="360" w:lineRule="auto"/>
        <w:jc w:val="both"/>
      </w:pPr>
      <w:r w:rsidRPr="004836AF">
        <w:t>El siguiente cuadro muestra el número de estudios encontrados en cada categoría y su grado de evidencia científica.(Cuadro 1)</w:t>
      </w:r>
    </w:p>
    <w:tbl>
      <w:tblPr>
        <w:tblStyle w:val="a"/>
        <w:tblW w:w="8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9"/>
        <w:gridCol w:w="2828"/>
        <w:gridCol w:w="2828"/>
      </w:tblGrid>
      <w:tr w:rsidR="005E334C" w:rsidRPr="004836AF" w14:paraId="3CF81333" w14:textId="77777777">
        <w:tc>
          <w:tcPr>
            <w:tcW w:w="2828" w:type="dxa"/>
            <w:shd w:val="clear" w:color="auto" w:fill="auto"/>
            <w:tcMar>
              <w:top w:w="100" w:type="dxa"/>
              <w:left w:w="100" w:type="dxa"/>
              <w:bottom w:w="100" w:type="dxa"/>
              <w:right w:w="100" w:type="dxa"/>
            </w:tcMar>
          </w:tcPr>
          <w:p w14:paraId="1F764166" w14:textId="77777777" w:rsidR="005E334C" w:rsidRPr="004836AF" w:rsidRDefault="00117609" w:rsidP="004836AF">
            <w:pPr>
              <w:widowControl w:val="0"/>
              <w:spacing w:line="360" w:lineRule="auto"/>
              <w:jc w:val="both"/>
            </w:pPr>
            <w:r w:rsidRPr="004836AF">
              <w:t>Estudios Clínicos Aleatorizados</w:t>
            </w:r>
          </w:p>
        </w:tc>
        <w:tc>
          <w:tcPr>
            <w:tcW w:w="2828" w:type="dxa"/>
            <w:shd w:val="clear" w:color="auto" w:fill="auto"/>
            <w:tcMar>
              <w:top w:w="100" w:type="dxa"/>
              <w:left w:w="100" w:type="dxa"/>
              <w:bottom w:w="100" w:type="dxa"/>
              <w:right w:w="100" w:type="dxa"/>
            </w:tcMar>
          </w:tcPr>
          <w:p w14:paraId="16B7B076" w14:textId="77777777" w:rsidR="005E334C" w:rsidRPr="004836AF" w:rsidRDefault="00117609" w:rsidP="004836AF">
            <w:pPr>
              <w:widowControl w:val="0"/>
              <w:spacing w:line="360" w:lineRule="auto"/>
              <w:jc w:val="both"/>
            </w:pPr>
            <w:r w:rsidRPr="004836AF">
              <w:t>5</w:t>
            </w:r>
          </w:p>
        </w:tc>
        <w:tc>
          <w:tcPr>
            <w:tcW w:w="2828" w:type="dxa"/>
            <w:shd w:val="clear" w:color="auto" w:fill="auto"/>
            <w:tcMar>
              <w:top w:w="100" w:type="dxa"/>
              <w:left w:w="100" w:type="dxa"/>
              <w:bottom w:w="100" w:type="dxa"/>
              <w:right w:w="100" w:type="dxa"/>
            </w:tcMar>
          </w:tcPr>
          <w:p w14:paraId="1FF96082" w14:textId="77777777" w:rsidR="005E334C" w:rsidRPr="004836AF" w:rsidRDefault="00117609" w:rsidP="004836AF">
            <w:pPr>
              <w:widowControl w:val="0"/>
              <w:spacing w:line="360" w:lineRule="auto"/>
              <w:jc w:val="both"/>
            </w:pPr>
            <w:r w:rsidRPr="004836AF">
              <w:t>Nivel I</w:t>
            </w:r>
          </w:p>
        </w:tc>
      </w:tr>
      <w:tr w:rsidR="005E334C" w:rsidRPr="004836AF" w14:paraId="52F535CA" w14:textId="77777777">
        <w:tc>
          <w:tcPr>
            <w:tcW w:w="2828" w:type="dxa"/>
            <w:shd w:val="clear" w:color="auto" w:fill="auto"/>
            <w:tcMar>
              <w:top w:w="100" w:type="dxa"/>
              <w:left w:w="100" w:type="dxa"/>
              <w:bottom w:w="100" w:type="dxa"/>
              <w:right w:w="100" w:type="dxa"/>
            </w:tcMar>
          </w:tcPr>
          <w:p w14:paraId="1405594E" w14:textId="77777777" w:rsidR="005E334C" w:rsidRPr="004836AF" w:rsidRDefault="00117609" w:rsidP="004836AF">
            <w:pPr>
              <w:widowControl w:val="0"/>
              <w:spacing w:line="360" w:lineRule="auto"/>
              <w:jc w:val="both"/>
            </w:pPr>
            <w:r w:rsidRPr="004836AF">
              <w:t>Estudios Clínicos Controlados</w:t>
            </w:r>
          </w:p>
        </w:tc>
        <w:tc>
          <w:tcPr>
            <w:tcW w:w="2828" w:type="dxa"/>
            <w:shd w:val="clear" w:color="auto" w:fill="auto"/>
            <w:tcMar>
              <w:top w:w="100" w:type="dxa"/>
              <w:left w:w="100" w:type="dxa"/>
              <w:bottom w:w="100" w:type="dxa"/>
              <w:right w:w="100" w:type="dxa"/>
            </w:tcMar>
          </w:tcPr>
          <w:p w14:paraId="2C3FCDA5" w14:textId="77777777" w:rsidR="005E334C" w:rsidRPr="004836AF" w:rsidRDefault="00117609" w:rsidP="004836AF">
            <w:pPr>
              <w:widowControl w:val="0"/>
              <w:spacing w:line="360" w:lineRule="auto"/>
              <w:jc w:val="both"/>
            </w:pPr>
            <w:r w:rsidRPr="004836AF">
              <w:t>4</w:t>
            </w:r>
          </w:p>
        </w:tc>
        <w:tc>
          <w:tcPr>
            <w:tcW w:w="2828" w:type="dxa"/>
            <w:shd w:val="clear" w:color="auto" w:fill="auto"/>
            <w:tcMar>
              <w:top w:w="100" w:type="dxa"/>
              <w:left w:w="100" w:type="dxa"/>
              <w:bottom w:w="100" w:type="dxa"/>
              <w:right w:w="100" w:type="dxa"/>
            </w:tcMar>
          </w:tcPr>
          <w:p w14:paraId="26C0F149" w14:textId="77777777" w:rsidR="005E334C" w:rsidRPr="004836AF" w:rsidRDefault="00117609" w:rsidP="004836AF">
            <w:pPr>
              <w:widowControl w:val="0"/>
              <w:spacing w:line="360" w:lineRule="auto"/>
              <w:jc w:val="both"/>
            </w:pPr>
            <w:r w:rsidRPr="004836AF">
              <w:t>Nivel II-1</w:t>
            </w:r>
          </w:p>
        </w:tc>
      </w:tr>
      <w:tr w:rsidR="005E334C" w:rsidRPr="004836AF" w14:paraId="30CDBF80" w14:textId="77777777">
        <w:tc>
          <w:tcPr>
            <w:tcW w:w="2828" w:type="dxa"/>
            <w:shd w:val="clear" w:color="auto" w:fill="auto"/>
            <w:tcMar>
              <w:top w:w="100" w:type="dxa"/>
              <w:left w:w="100" w:type="dxa"/>
              <w:bottom w:w="100" w:type="dxa"/>
              <w:right w:w="100" w:type="dxa"/>
            </w:tcMar>
          </w:tcPr>
          <w:p w14:paraId="241D7009" w14:textId="77777777" w:rsidR="005E334C" w:rsidRPr="004836AF" w:rsidRDefault="00117609" w:rsidP="004836AF">
            <w:pPr>
              <w:widowControl w:val="0"/>
              <w:spacing w:line="360" w:lineRule="auto"/>
              <w:jc w:val="both"/>
            </w:pPr>
            <w:r w:rsidRPr="004836AF">
              <w:t>Serie de Casos Clínicos</w:t>
            </w:r>
          </w:p>
        </w:tc>
        <w:tc>
          <w:tcPr>
            <w:tcW w:w="2828" w:type="dxa"/>
            <w:shd w:val="clear" w:color="auto" w:fill="auto"/>
            <w:tcMar>
              <w:top w:w="100" w:type="dxa"/>
              <w:left w:w="100" w:type="dxa"/>
              <w:bottom w:w="100" w:type="dxa"/>
              <w:right w:w="100" w:type="dxa"/>
            </w:tcMar>
          </w:tcPr>
          <w:p w14:paraId="185FC118" w14:textId="77777777" w:rsidR="005E334C" w:rsidRPr="004836AF" w:rsidRDefault="00117609" w:rsidP="004836AF">
            <w:pPr>
              <w:widowControl w:val="0"/>
              <w:spacing w:line="360" w:lineRule="auto"/>
              <w:jc w:val="both"/>
            </w:pPr>
            <w:r w:rsidRPr="004836AF">
              <w:t>12</w:t>
            </w:r>
          </w:p>
        </w:tc>
        <w:tc>
          <w:tcPr>
            <w:tcW w:w="2828" w:type="dxa"/>
            <w:shd w:val="clear" w:color="auto" w:fill="auto"/>
            <w:tcMar>
              <w:top w:w="100" w:type="dxa"/>
              <w:left w:w="100" w:type="dxa"/>
              <w:bottom w:w="100" w:type="dxa"/>
              <w:right w:w="100" w:type="dxa"/>
            </w:tcMar>
          </w:tcPr>
          <w:p w14:paraId="2C7F758F" w14:textId="77777777" w:rsidR="005E334C" w:rsidRPr="004836AF" w:rsidRDefault="00117609" w:rsidP="004836AF">
            <w:pPr>
              <w:widowControl w:val="0"/>
              <w:spacing w:line="360" w:lineRule="auto"/>
              <w:jc w:val="both"/>
            </w:pPr>
            <w:r w:rsidRPr="004836AF">
              <w:t>Nivel II-2 y II-3</w:t>
            </w:r>
          </w:p>
        </w:tc>
      </w:tr>
    </w:tbl>
    <w:p w14:paraId="481104BD" w14:textId="01962905" w:rsidR="005221AF" w:rsidRPr="004836AF" w:rsidRDefault="00117609" w:rsidP="004836AF">
      <w:pPr>
        <w:spacing w:before="240" w:after="240" w:line="360" w:lineRule="auto"/>
        <w:jc w:val="both"/>
      </w:pPr>
      <w:r w:rsidRPr="004836AF">
        <w:t>Cuadro 1</w:t>
      </w:r>
      <w:r w:rsidR="005221AF">
        <w:t>.</w:t>
      </w:r>
      <w:r w:rsidR="005221AF">
        <w:fldChar w:fldCharType="begin" w:fldLock="1"/>
      </w:r>
      <w:r w:rsidR="005221AF">
        <w:instrText>ADDIN CSL_CITATION {"citationItems":[{"id":"ITEM-1","itemData":{"author":[{"dropping-particle":"","family":"Task Force Revitalization Process (CTFPHC)","given":"","non-dropping-particle":"","parse-names":false,"suffix":""}],"id":"ITEM-1","issued":{"date-parts":[["2005"]]},"title":"Evidece-Based Clinical Prevention","type":"article-journal"},"uris":["http://www.mendeley.com/documents/?uuid=5fae2805-02a0-4c82-9e02-8dee1a337f78"]}],"mendeley":{"formattedCitation":"(50)","plainTextFormattedCitation":"(50)","previouslyFormattedCitation":"(50)"},"properties":{"noteIndex":0},"schema":"https://github.com/citation-style-language/schema/raw/master/csl-citation.json"}</w:instrText>
      </w:r>
      <w:r w:rsidR="005221AF">
        <w:fldChar w:fldCharType="separate"/>
      </w:r>
      <w:r w:rsidR="005221AF" w:rsidRPr="005221AF">
        <w:rPr>
          <w:noProof/>
        </w:rPr>
        <w:t>(50)</w:t>
      </w:r>
      <w:r w:rsidR="005221AF">
        <w:fldChar w:fldCharType="end"/>
      </w:r>
    </w:p>
    <w:p w14:paraId="6B3F0B08" w14:textId="3BB42025" w:rsidR="005E334C" w:rsidRPr="004836AF" w:rsidRDefault="00117609" w:rsidP="004836AF">
      <w:pPr>
        <w:spacing w:before="240" w:after="240" w:line="360" w:lineRule="auto"/>
        <w:jc w:val="both"/>
      </w:pPr>
      <w:r w:rsidRPr="004836AF">
        <w:t xml:space="preserve">Consideramos de vital importancia para el clínico que se enfrenta a un AVR con ROG fundarse  en la Odontología Basada en la Evidencia como la integración juiciosa </w:t>
      </w:r>
      <w:proofErr w:type="spellStart"/>
      <w:r w:rsidRPr="004836AF">
        <w:t>integración</w:t>
      </w:r>
      <w:proofErr w:type="spellEnd"/>
      <w:r w:rsidRPr="004836AF">
        <w:t xml:space="preserve"> del conocimiento científico de interés clínico relacionado con la historia clínica médica y odonto</w:t>
      </w:r>
      <w:r w:rsidR="00FE3F57">
        <w:t>l</w:t>
      </w:r>
      <w:r w:rsidRPr="004836AF">
        <w:t>ógica del paciente, la idoneidad del profesional y las necesidades y preferencias del paciente</w:t>
      </w:r>
      <w:r w:rsidR="005221AF">
        <w:t xml:space="preserve"> </w:t>
      </w:r>
      <w:r w:rsidR="005221AF">
        <w:fldChar w:fldCharType="begin" w:fldLock="1"/>
      </w:r>
      <w:r w:rsidR="005221AF">
        <w:instrText>ADDIN CSL_CITATION {"citationItems":[{"id":"ITEM-1","itemData":{"container-title":"Ada Policy Statements on Evidence Based Dentistry","id":"ITEM-1","issued":{"date-parts":[["2001"]]},"page":"462","title":"Definition of Evidence Based Dentistry","type":"article-journal"},"uris":["http://www.mendeley.com/documents/?uuid=69860e6b-b295-423c-901f-85d197a17d11"]}],"mendeley":{"formattedCitation":"(51)","plainTextFormattedCitation":"(51)","previouslyFormattedCitation":"(51)"},"properties":{"noteIndex":0},"schema":"https://github.com/citation-style-language/schema/raw/master/csl-citation.json"}</w:instrText>
      </w:r>
      <w:r w:rsidR="005221AF">
        <w:fldChar w:fldCharType="separate"/>
      </w:r>
      <w:r w:rsidR="005221AF" w:rsidRPr="005221AF">
        <w:rPr>
          <w:noProof/>
        </w:rPr>
        <w:t>(51)</w:t>
      </w:r>
      <w:r w:rsidR="005221AF">
        <w:fldChar w:fldCharType="end"/>
      </w:r>
      <w:r w:rsidR="005221AF">
        <w:t>.</w:t>
      </w:r>
      <w:r w:rsidRPr="004836AF">
        <w:t xml:space="preserve">  Seleccionando una técnica adecuada en cuanto a la técnica propiamente dicha, al tipo de injerto, membra</w:t>
      </w:r>
      <w:r w:rsidR="00FE3F57">
        <w:t>na</w:t>
      </w:r>
      <w:r w:rsidRPr="004836AF">
        <w:t xml:space="preserve"> y al momento de colocación del imp</w:t>
      </w:r>
      <w:r w:rsidR="00FE3F57">
        <w:t>l</w:t>
      </w:r>
      <w:r w:rsidRPr="004836AF">
        <w:t>ante.</w:t>
      </w:r>
    </w:p>
    <w:p w14:paraId="6C971E66" w14:textId="673B4EAF" w:rsidR="005E334C" w:rsidRDefault="00117609" w:rsidP="004836AF">
      <w:pPr>
        <w:spacing w:before="240" w:after="240" w:line="360" w:lineRule="auto"/>
        <w:jc w:val="both"/>
      </w:pPr>
      <w:r w:rsidRPr="004836AF">
        <w:t xml:space="preserve"> Una de las mayores dificultades del AVR en la zona posterior de la mandíbula es obtener un cierre primario completo y estable durante el período de cicatrización.  La técnica original descrita entre otros por Carlo </w:t>
      </w:r>
      <w:proofErr w:type="spellStart"/>
      <w:r w:rsidRPr="004836AF">
        <w:t>Tinti</w:t>
      </w:r>
      <w:proofErr w:type="spellEnd"/>
      <w:r w:rsidRPr="004836AF">
        <w:t xml:space="preserve"> logra claramente el objetivo de cubrir defectos de entre 2 mm a 7 mm</w:t>
      </w:r>
      <w:r w:rsidR="005221AF">
        <w:t xml:space="preserve"> </w:t>
      </w:r>
      <w:r w:rsidR="005221AF">
        <w:fldChar w:fldCharType="begin" w:fldLock="1"/>
      </w:r>
      <w:r w:rsidR="005221AF">
        <w:instrText>ADDIN CSL_CITATION {"citationItems":[{"id":"ITEM-1","itemData":{"ISSN":"0198-7569","PMID":"10093520","abstract":"The aim of this retrospective study was to evaluate the predictability of obtaining a vertical ridge augmentation around dental implants, strictly following a surgical protocol. Fourteen partially and four fully edentulous patients were treated between July 1993 and November 1995. Forty-eight consecutive implants were placed so that the circumference of the upper part of the cover screw was exposed from 2 to 7 mm. In addition to bone chips, autogenous bone grafts harvested with a bone-filtering aspirator were placed around the exposed threads and completely covered with a barrier membrane. Flaps were coronally displaced to cover the regenerative materials. Three of the 22 membranes became exposed prematurely and were removed immediately. The remaining 19 membranes stayed in place for a 12-month healing period until the second-stage surgery. In these 19 cases, where the membrane remained completely covered by the soft tissue, all of the available space underneath the membrane was filled with regenerative tissue. In eight cases a histologic biopsy was performed. Histologic analysis demonstrated vital bone with regularly formed bone cells; in three cases the most coronal part (approximately 1 mm) of the regenerative tissue was connective tissue, and the remaining tissue was bone. This retrospective analysis showed that when the clinical protocol was accurately followed, the possibility of clinical complication was reduced and the results for achieving vertical ridge augmentation around implants were predictable.","author":[{"dropping-particle":"","family":"Tinti","given":"C","non-dropping-particle":"","parse-names":false,"suffix":""},{"dropping-particle":"","family":"Parma-Benfenati","given":"S","non-dropping-particle":"","parse-names":false,"suffix":""}],"container-title":"The International journal of periodontics &amp; restorative dentistry","id":"ITEM-1","issue":"5","issued":{"date-parts":[["1998"]]},"number-of-pages":"434-43","title":"Vertical ridge augmentation: surgical protocol and retrospective evaluation of 48 consecutively inserted implants.","type":"report","volume":"18"},"uris":["http://www.mendeley.com/documents/?uuid=72506d97-b8e7-38d7-a3b7-adf6e6bc637a"]}],"mendeley":{"formattedCitation":"(30)","plainTextFormattedCitation":"(30)","previouslyFormattedCitation":"(30)"},"properties":{"noteIndex":0},"schema":"https://github.com/citation-style-language/schema/raw/master/csl-citation.json"}</w:instrText>
      </w:r>
      <w:r w:rsidR="005221AF">
        <w:fldChar w:fldCharType="separate"/>
      </w:r>
      <w:r w:rsidR="005221AF" w:rsidRPr="005221AF">
        <w:rPr>
          <w:noProof/>
        </w:rPr>
        <w:t>(30)</w:t>
      </w:r>
      <w:r w:rsidR="005221AF">
        <w:fldChar w:fldCharType="end"/>
      </w:r>
      <w:r w:rsidRPr="004836AF">
        <w:t xml:space="preserve">. Cuando la ganancia ósea  necesaria es importante, el mayor aporte de tejidos para lograr el cierre lo va a brindar el colgajo lingual. Para ello dicha técnica </w:t>
      </w:r>
      <w:proofErr w:type="spellStart"/>
      <w:r w:rsidRPr="004836AF">
        <w:t>desinserta</w:t>
      </w:r>
      <w:proofErr w:type="spellEnd"/>
      <w:r w:rsidRPr="004836AF">
        <w:t xml:space="preserve">  músculo </w:t>
      </w:r>
      <w:proofErr w:type="spellStart"/>
      <w:r w:rsidRPr="004836AF">
        <w:t>milihioideo</w:t>
      </w:r>
      <w:proofErr w:type="spellEnd"/>
      <w:r w:rsidRPr="004836AF">
        <w:t xml:space="preserve"> de la mandíbula. Al realizar esto se genera una comunicación entre el espacio quirúrgico y el espacio </w:t>
      </w:r>
      <w:proofErr w:type="spellStart"/>
      <w:r w:rsidRPr="004836AF">
        <w:t>submadibular</w:t>
      </w:r>
      <w:proofErr w:type="spellEnd"/>
      <w:r w:rsidRPr="004836AF">
        <w:t xml:space="preserve"> o sublingual, lo que podía generar una complicación grave en el caso de que hubiera una infección post operatoria. Para reducir el riesgo y la morbilidad </w:t>
      </w:r>
      <w:r w:rsidRPr="004836AF">
        <w:lastRenderedPageBreak/>
        <w:t xml:space="preserve">de la zona  se crean nuevas técnicas en las que se </w:t>
      </w:r>
      <w:proofErr w:type="spellStart"/>
      <w:r w:rsidRPr="004836AF">
        <w:t>desinserta</w:t>
      </w:r>
      <w:proofErr w:type="spellEnd"/>
      <w:r w:rsidRPr="004836AF">
        <w:t xml:space="preserve"> parcialmente el músculo </w:t>
      </w:r>
      <w:proofErr w:type="spellStart"/>
      <w:r w:rsidRPr="004836AF">
        <w:t>milohioideo</w:t>
      </w:r>
      <w:proofErr w:type="spellEnd"/>
      <w:r w:rsidRPr="004836AF">
        <w:t xml:space="preserve"> </w:t>
      </w:r>
      <w:r w:rsidR="005221AF">
        <w:fldChar w:fldCharType="begin" w:fldLock="1"/>
      </w:r>
      <w:r w:rsidR="005221AF">
        <w:instrText>ADDIN CSL_CITATION {"citationItems":[{"id":"ITEM-1","itemData":{"ISSN":"1945-3388","PMID":"21845245","abstract":"One of the crucial factors in the success of guided bone regeneration procedures is the correct management of the soft tissues. This allows for stable primary wound closure without tension, which can result in premature exposure of the augmentation area, jeopardizing the final outcome. The use of vertical and periosteal incisions to passivate buccal and lingual flaps in the posterior mandible is often limited by anatomical factors. This paper reports on a series of 69 consecutive cases introducing a novel surgical technique to release and advance the lingual flap coronally in a safe and predictable manner.","author":[{"dropping-particle":"","family":"Ronda","given":"Marco","non-dropping-particle":"","parse-names":false,"suffix":""},{"dropping-particle":"","family":"Stacchi","given":"Claudio","non-dropping-particle":"","parse-names":false,"suffix":""}],"container-title":"The International journal of periodontics &amp; restorative dentistry","id":"ITEM-1","issue":"5","issued":{"date-parts":[["2011"]]},"page":"505-13","title":"Management of a coronally advanced lingual flap in regenerative osseous surgery: a case series introducing a novel technique.","type":"article-journal","volume":"31"},"uris":["http://www.mendeley.com/documents/?uuid=af8da598-2826-4724-b506-c3823a231b6e"]}],"mendeley":{"formattedCitation":"(31)","plainTextFormattedCitation":"(31)","previouslyFormattedCitation":"(31)"},"properties":{"noteIndex":0},"schema":"https://github.com/citation-style-language/schema/raw/master/csl-citation.json"}</w:instrText>
      </w:r>
      <w:r w:rsidR="005221AF">
        <w:fldChar w:fldCharType="separate"/>
      </w:r>
      <w:r w:rsidR="005221AF" w:rsidRPr="005221AF">
        <w:rPr>
          <w:noProof/>
        </w:rPr>
        <w:t>(31)</w:t>
      </w:r>
      <w:r w:rsidR="005221AF">
        <w:fldChar w:fldCharType="end"/>
      </w:r>
      <w:r w:rsidR="005221AF">
        <w:t xml:space="preserve"> </w:t>
      </w:r>
      <w:r w:rsidRPr="004836AF">
        <w:t>o se decola el tejido fibroso por</w:t>
      </w:r>
      <w:r w:rsidR="00706190">
        <w:t xml:space="preserve"> </w:t>
      </w:r>
      <w:r w:rsidRPr="004836AF">
        <w:t xml:space="preserve">encima de </w:t>
      </w:r>
      <w:r w:rsidR="005221AF">
        <w:t>dicho músculo</w:t>
      </w:r>
      <w:r w:rsidR="005221AF">
        <w:fldChar w:fldCharType="begin" w:fldLock="1"/>
      </w:r>
      <w:r w:rsidR="005221AF">
        <w:instrText>ADDIN CSL_CITATION {"citationItems":[{"id":"ITEM-1","itemData":{"DOI":"10.11607/prd.3227","ISSN":"01987569","abstract":"Vertical ridge augmentation in the posterior mandible is a technique-sensitive procedure that requires adequate anatomical knowledge and precise surgical skills to minimize the risk of complications. One of the most important but also challenging aspects of the surgical technique is proper flap management to allow for passive flap closure and reduce the chances of postoperative complications affecting deep anatomical spaces. This article presents a detailed description of a novel lingual flap advancement technique and its validation via a split-mouth, comparative study using a cadaver model. A total of 12 fresh cadaver heads presenting bilateral posterior mandibular edentulism were selected. Sides were randomized to receive a classic lingual flap release technique (control) or the modified technique presented here, which involves the intentional preservation of the mylohyoid muscle attachment to the mandible. Vertical flap release was measured at three different zones using standard forces. The mean difference between the test and control group in zones I (retromolar pad area), II (middle area), and III (premolar area) was 8.273 ± 1.794 mm (standard error of the mean [SEM] = 0.5409 mm), 10.09 ± 2.948 mm (SEM = 0.8889 mm), and 10.273 ± 2.936 mm (SEM = 0.8851 mm), respectively, reaching very strong statistical significance (P &lt;.0001) in all three zones.","author":[{"dropping-particle":"","family":"Urban","given":"Istvan","non-dropping-particle":"","parse-names":false,"suffix":""},{"dropping-particle":"","family":"Traxler","given":"Hannes","non-dropping-particle":"","parse-names":false,"suffix":""},{"dropping-particle":"","family":"Romero-Bustillos","given":"Miguel","non-dropping-particle":"","parse-names":false,"suffix":""},{"dropping-particle":"","family":"Farkasdi","given":"Sandor","non-dropping-particle":"","parse-names":false,"suffix":""},{"dropping-particle":"","family":"Bartee","given":"Barry","non-dropping-particle":"","parse-names":false,"suffix":""},{"dropping-particle":"","family":"Baksa","given":"Gabor","non-dropping-particle":"","parse-names":false,"suffix":""},{"dropping-particle":"","family":"Avila-Ortiz","given":"Gustavo","non-dropping-particle":"","parse-names":false,"suffix":""}],"container-title":"The International Journal of Periodontics &amp; Restorative Dentistry","id":"ITEM-1","issue":"1","issued":{"date-parts":[["2018"]]},"page":"35-40","title":"Effectiveness of Two Different Lingual Flap Advancing Techniques for Vertical Bone Augmentation in the Posterior Mandible: A Comparative, Split-Mouth Cadaver Study","type":"article-journal","volume":"38"},"uris":["http://www.mendeley.com/documents/?uuid=d906354a-079a-4f9a-bbcd-58a3057d2097"]}],"mendeley":{"formattedCitation":"(32)","plainTextFormattedCitation":"(32)","previouslyFormattedCitation":"(32)"},"properties":{"noteIndex":0},"schema":"https://github.com/citation-style-language/schema/raw/master/csl-citation.json"}</w:instrText>
      </w:r>
      <w:r w:rsidR="005221AF">
        <w:fldChar w:fldCharType="separate"/>
      </w:r>
      <w:r w:rsidR="005221AF" w:rsidRPr="005221AF">
        <w:rPr>
          <w:noProof/>
        </w:rPr>
        <w:t>(32)</w:t>
      </w:r>
      <w:r w:rsidR="005221AF">
        <w:fldChar w:fldCharType="end"/>
      </w:r>
      <w:r w:rsidRPr="004836AF">
        <w:t xml:space="preserve">. </w:t>
      </w:r>
      <w:r w:rsidR="005221AF">
        <w:t>L</w:t>
      </w:r>
      <w:r w:rsidR="005221AF" w:rsidRPr="004836AF">
        <w:t xml:space="preserve">a </w:t>
      </w:r>
      <w:r w:rsidR="005221AF">
        <w:t>literat</w:t>
      </w:r>
      <w:r w:rsidR="005221AF" w:rsidRPr="004836AF">
        <w:t xml:space="preserve">ura consultada presenta ambas técnicas o no </w:t>
      </w:r>
      <w:proofErr w:type="spellStart"/>
      <w:r w:rsidR="005221AF" w:rsidRPr="004836AF">
        <w:t>espcif</w:t>
      </w:r>
      <w:r w:rsidR="005221AF">
        <w:t>i</w:t>
      </w:r>
      <w:r w:rsidR="005221AF" w:rsidRPr="004836AF">
        <w:t>ca</w:t>
      </w:r>
      <w:proofErr w:type="spellEnd"/>
      <w:r w:rsidR="005221AF" w:rsidRPr="004836AF">
        <w:t xml:space="preserve"> </w:t>
      </w:r>
      <w:r w:rsidR="00706190">
        <w:t xml:space="preserve"> </w:t>
      </w:r>
      <w:r w:rsidR="005221AF" w:rsidRPr="004836AF">
        <w:t>(cuadro</w:t>
      </w:r>
      <w:r w:rsidR="00706190">
        <w:t xml:space="preserve"> </w:t>
      </w:r>
      <w:r w:rsidR="005221AF" w:rsidRPr="004836AF">
        <w:t>2).</w:t>
      </w:r>
    </w:p>
    <w:p w14:paraId="7172DE26" w14:textId="5EC13F81" w:rsidR="005221AF" w:rsidRDefault="005221AF" w:rsidP="004836AF">
      <w:pPr>
        <w:spacing w:before="240" w:after="240" w:line="360" w:lineRule="auto"/>
        <w:jc w:val="both"/>
      </w:pPr>
    </w:p>
    <w:p w14:paraId="36AE20B0" w14:textId="5128DE32" w:rsidR="005221AF" w:rsidRDefault="005221AF" w:rsidP="004836AF">
      <w:pPr>
        <w:spacing w:before="240" w:after="240" w:line="360" w:lineRule="auto"/>
        <w:jc w:val="both"/>
      </w:pPr>
    </w:p>
    <w:p w14:paraId="27E11156" w14:textId="0062DCAC" w:rsidR="005221AF" w:rsidRDefault="005221AF" w:rsidP="004836AF">
      <w:pPr>
        <w:spacing w:before="240" w:after="240" w:line="360" w:lineRule="auto"/>
        <w:jc w:val="both"/>
      </w:pPr>
    </w:p>
    <w:p w14:paraId="6BB87073" w14:textId="77777777" w:rsidR="005221AF" w:rsidRPr="004836AF" w:rsidRDefault="005221AF" w:rsidP="004836AF">
      <w:pPr>
        <w:spacing w:before="240" w:after="240" w:line="360" w:lineRule="auto"/>
        <w:jc w:val="both"/>
      </w:pPr>
    </w:p>
    <w:tbl>
      <w:tblPr>
        <w:tblStyle w:val="a0"/>
        <w:tblW w:w="84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9"/>
        <w:gridCol w:w="2828"/>
        <w:gridCol w:w="2828"/>
      </w:tblGrid>
      <w:tr w:rsidR="005E334C" w:rsidRPr="004836AF" w14:paraId="29ADE6A1" w14:textId="77777777">
        <w:tc>
          <w:tcPr>
            <w:tcW w:w="2828" w:type="dxa"/>
            <w:shd w:val="clear" w:color="auto" w:fill="auto"/>
            <w:tcMar>
              <w:top w:w="100" w:type="dxa"/>
              <w:left w:w="100" w:type="dxa"/>
              <w:bottom w:w="100" w:type="dxa"/>
              <w:right w:w="100" w:type="dxa"/>
            </w:tcMar>
          </w:tcPr>
          <w:p w14:paraId="5D16C7B0" w14:textId="77777777" w:rsidR="005E334C" w:rsidRPr="004836AF" w:rsidRDefault="00117609" w:rsidP="004836AF">
            <w:pPr>
              <w:widowControl w:val="0"/>
              <w:pBdr>
                <w:top w:val="nil"/>
                <w:left w:val="nil"/>
                <w:bottom w:val="nil"/>
                <w:right w:val="nil"/>
                <w:between w:val="nil"/>
              </w:pBdr>
              <w:spacing w:line="360" w:lineRule="auto"/>
              <w:jc w:val="both"/>
            </w:pPr>
            <w:r w:rsidRPr="004836AF">
              <w:t xml:space="preserve">Con </w:t>
            </w:r>
            <w:proofErr w:type="spellStart"/>
            <w:r w:rsidRPr="004836AF">
              <w:t>desinsercion</w:t>
            </w:r>
            <w:proofErr w:type="spellEnd"/>
            <w:r w:rsidRPr="004836AF">
              <w:t xml:space="preserve"> completa del MH</w:t>
            </w:r>
          </w:p>
        </w:tc>
        <w:tc>
          <w:tcPr>
            <w:tcW w:w="2828" w:type="dxa"/>
            <w:shd w:val="clear" w:color="auto" w:fill="auto"/>
            <w:tcMar>
              <w:top w:w="100" w:type="dxa"/>
              <w:left w:w="100" w:type="dxa"/>
              <w:bottom w:w="100" w:type="dxa"/>
              <w:right w:w="100" w:type="dxa"/>
            </w:tcMar>
          </w:tcPr>
          <w:p w14:paraId="4DF790C4" w14:textId="77777777" w:rsidR="005E334C" w:rsidRPr="004836AF" w:rsidRDefault="00117609" w:rsidP="004836AF">
            <w:pPr>
              <w:widowControl w:val="0"/>
              <w:pBdr>
                <w:top w:val="nil"/>
                <w:left w:val="nil"/>
                <w:bottom w:val="nil"/>
                <w:right w:val="nil"/>
                <w:between w:val="nil"/>
              </w:pBdr>
              <w:spacing w:line="360" w:lineRule="auto"/>
              <w:jc w:val="both"/>
            </w:pPr>
            <w:r w:rsidRPr="004836AF">
              <w:t xml:space="preserve">Con desinserción Parcial  o sin </w:t>
            </w:r>
            <w:proofErr w:type="spellStart"/>
            <w:r w:rsidRPr="004836AF">
              <w:t>desinsercion</w:t>
            </w:r>
            <w:proofErr w:type="spellEnd"/>
            <w:r w:rsidRPr="004836AF">
              <w:t xml:space="preserve"> del MH</w:t>
            </w:r>
          </w:p>
        </w:tc>
        <w:tc>
          <w:tcPr>
            <w:tcW w:w="2828" w:type="dxa"/>
            <w:shd w:val="clear" w:color="auto" w:fill="auto"/>
            <w:tcMar>
              <w:top w:w="100" w:type="dxa"/>
              <w:left w:w="100" w:type="dxa"/>
              <w:bottom w:w="100" w:type="dxa"/>
              <w:right w:w="100" w:type="dxa"/>
            </w:tcMar>
          </w:tcPr>
          <w:p w14:paraId="2D798346" w14:textId="77777777" w:rsidR="005E334C" w:rsidRPr="004836AF" w:rsidRDefault="00117609" w:rsidP="004836AF">
            <w:pPr>
              <w:widowControl w:val="0"/>
              <w:pBdr>
                <w:top w:val="nil"/>
                <w:left w:val="nil"/>
                <w:bottom w:val="nil"/>
                <w:right w:val="nil"/>
                <w:between w:val="nil"/>
              </w:pBdr>
              <w:spacing w:line="360" w:lineRule="auto"/>
              <w:jc w:val="both"/>
            </w:pPr>
            <w:r w:rsidRPr="004836AF">
              <w:t>El estudio no especifica la técnica utilizada</w:t>
            </w:r>
          </w:p>
        </w:tc>
      </w:tr>
      <w:tr w:rsidR="005E334C" w:rsidRPr="004836AF" w14:paraId="613BC864" w14:textId="77777777">
        <w:tc>
          <w:tcPr>
            <w:tcW w:w="2828" w:type="dxa"/>
            <w:shd w:val="clear" w:color="auto" w:fill="auto"/>
            <w:tcMar>
              <w:top w:w="100" w:type="dxa"/>
              <w:left w:w="100" w:type="dxa"/>
              <w:bottom w:w="100" w:type="dxa"/>
              <w:right w:w="100" w:type="dxa"/>
            </w:tcMar>
          </w:tcPr>
          <w:p w14:paraId="0F756BEF"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Tinti</w:t>
            </w:r>
            <w:proofErr w:type="spellEnd"/>
            <w:r w:rsidRPr="004836AF">
              <w:t xml:space="preserve"> 1998</w:t>
            </w:r>
          </w:p>
        </w:tc>
        <w:tc>
          <w:tcPr>
            <w:tcW w:w="2828" w:type="dxa"/>
            <w:shd w:val="clear" w:color="auto" w:fill="auto"/>
            <w:tcMar>
              <w:top w:w="100" w:type="dxa"/>
              <w:left w:w="100" w:type="dxa"/>
              <w:bottom w:w="100" w:type="dxa"/>
              <w:right w:w="100" w:type="dxa"/>
            </w:tcMar>
          </w:tcPr>
          <w:p w14:paraId="26BA6134" w14:textId="77777777" w:rsidR="005E334C" w:rsidRPr="004836AF" w:rsidRDefault="00117609" w:rsidP="004836AF">
            <w:pPr>
              <w:widowControl w:val="0"/>
              <w:pBdr>
                <w:top w:val="nil"/>
                <w:left w:val="nil"/>
                <w:bottom w:val="nil"/>
                <w:right w:val="nil"/>
                <w:between w:val="nil"/>
              </w:pBdr>
              <w:spacing w:line="360" w:lineRule="auto"/>
              <w:jc w:val="both"/>
            </w:pPr>
            <w:r w:rsidRPr="004836AF">
              <w:t>Ronda 2011</w:t>
            </w:r>
          </w:p>
        </w:tc>
        <w:tc>
          <w:tcPr>
            <w:tcW w:w="2828" w:type="dxa"/>
            <w:shd w:val="clear" w:color="auto" w:fill="auto"/>
            <w:tcMar>
              <w:top w:w="100" w:type="dxa"/>
              <w:left w:w="100" w:type="dxa"/>
              <w:bottom w:w="100" w:type="dxa"/>
              <w:right w:w="100" w:type="dxa"/>
            </w:tcMar>
          </w:tcPr>
          <w:p w14:paraId="572FD644"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Corildenasi</w:t>
            </w:r>
            <w:proofErr w:type="spellEnd"/>
            <w:r w:rsidRPr="004836AF">
              <w:t xml:space="preserve"> 2007</w:t>
            </w:r>
          </w:p>
        </w:tc>
      </w:tr>
      <w:tr w:rsidR="005E334C" w:rsidRPr="004836AF" w14:paraId="61714670" w14:textId="77777777">
        <w:tc>
          <w:tcPr>
            <w:tcW w:w="2828" w:type="dxa"/>
            <w:shd w:val="clear" w:color="auto" w:fill="auto"/>
            <w:tcMar>
              <w:top w:w="100" w:type="dxa"/>
              <w:left w:w="100" w:type="dxa"/>
              <w:bottom w:w="100" w:type="dxa"/>
              <w:right w:w="100" w:type="dxa"/>
            </w:tcMar>
          </w:tcPr>
          <w:p w14:paraId="4D838E6D"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Simion</w:t>
            </w:r>
            <w:proofErr w:type="spellEnd"/>
            <w:r w:rsidRPr="004836AF">
              <w:t xml:space="preserve"> 1998</w:t>
            </w:r>
          </w:p>
        </w:tc>
        <w:tc>
          <w:tcPr>
            <w:tcW w:w="2828" w:type="dxa"/>
            <w:shd w:val="clear" w:color="auto" w:fill="auto"/>
            <w:tcMar>
              <w:top w:w="100" w:type="dxa"/>
              <w:left w:w="100" w:type="dxa"/>
              <w:bottom w:w="100" w:type="dxa"/>
              <w:right w:w="100" w:type="dxa"/>
            </w:tcMar>
          </w:tcPr>
          <w:p w14:paraId="4AFBCD3B" w14:textId="77777777" w:rsidR="005E334C" w:rsidRPr="004836AF" w:rsidRDefault="00117609" w:rsidP="004836AF">
            <w:pPr>
              <w:widowControl w:val="0"/>
              <w:pBdr>
                <w:top w:val="nil"/>
                <w:left w:val="nil"/>
                <w:bottom w:val="nil"/>
                <w:right w:val="nil"/>
                <w:between w:val="nil"/>
              </w:pBdr>
              <w:spacing w:line="360" w:lineRule="auto"/>
              <w:jc w:val="both"/>
            </w:pPr>
            <w:r w:rsidRPr="004836AF">
              <w:t>Ronda 2013</w:t>
            </w:r>
          </w:p>
        </w:tc>
        <w:tc>
          <w:tcPr>
            <w:tcW w:w="2828" w:type="dxa"/>
            <w:shd w:val="clear" w:color="auto" w:fill="auto"/>
            <w:tcMar>
              <w:top w:w="100" w:type="dxa"/>
              <w:left w:w="100" w:type="dxa"/>
              <w:bottom w:w="100" w:type="dxa"/>
              <w:right w:w="100" w:type="dxa"/>
            </w:tcMar>
          </w:tcPr>
          <w:p w14:paraId="38FD1DE9"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Todisco</w:t>
            </w:r>
            <w:proofErr w:type="spellEnd"/>
            <w:r w:rsidRPr="004836AF">
              <w:t xml:space="preserve"> 2010</w:t>
            </w:r>
          </w:p>
        </w:tc>
      </w:tr>
      <w:tr w:rsidR="005E334C" w:rsidRPr="004836AF" w14:paraId="6272603F" w14:textId="77777777">
        <w:tc>
          <w:tcPr>
            <w:tcW w:w="2828" w:type="dxa"/>
            <w:shd w:val="clear" w:color="auto" w:fill="auto"/>
            <w:tcMar>
              <w:top w:w="100" w:type="dxa"/>
              <w:left w:w="100" w:type="dxa"/>
              <w:bottom w:w="100" w:type="dxa"/>
              <w:right w:w="100" w:type="dxa"/>
            </w:tcMar>
          </w:tcPr>
          <w:p w14:paraId="51A82BE0"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Simion</w:t>
            </w:r>
            <w:proofErr w:type="spellEnd"/>
            <w:r w:rsidRPr="004836AF">
              <w:t xml:space="preserve"> 2001</w:t>
            </w:r>
          </w:p>
        </w:tc>
        <w:tc>
          <w:tcPr>
            <w:tcW w:w="2828" w:type="dxa"/>
            <w:shd w:val="clear" w:color="auto" w:fill="auto"/>
            <w:tcMar>
              <w:top w:w="100" w:type="dxa"/>
              <w:left w:w="100" w:type="dxa"/>
              <w:bottom w:w="100" w:type="dxa"/>
              <w:right w:w="100" w:type="dxa"/>
            </w:tcMar>
          </w:tcPr>
          <w:p w14:paraId="3BA80D83"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Cucchi</w:t>
            </w:r>
            <w:proofErr w:type="spellEnd"/>
            <w:r w:rsidRPr="004836AF">
              <w:t xml:space="preserve"> 2017</w:t>
            </w:r>
          </w:p>
        </w:tc>
        <w:tc>
          <w:tcPr>
            <w:tcW w:w="2828" w:type="dxa"/>
            <w:shd w:val="clear" w:color="auto" w:fill="auto"/>
            <w:tcMar>
              <w:top w:w="100" w:type="dxa"/>
              <w:left w:w="100" w:type="dxa"/>
              <w:bottom w:w="100" w:type="dxa"/>
              <w:right w:w="100" w:type="dxa"/>
            </w:tcMar>
          </w:tcPr>
          <w:p w14:paraId="391B2BF6"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Funato</w:t>
            </w:r>
            <w:proofErr w:type="spellEnd"/>
            <w:r w:rsidRPr="004836AF">
              <w:t xml:space="preserve"> 2013</w:t>
            </w:r>
          </w:p>
        </w:tc>
      </w:tr>
      <w:tr w:rsidR="005E334C" w:rsidRPr="004836AF" w14:paraId="51ACBE69" w14:textId="77777777">
        <w:tc>
          <w:tcPr>
            <w:tcW w:w="2828" w:type="dxa"/>
            <w:shd w:val="clear" w:color="auto" w:fill="auto"/>
            <w:tcMar>
              <w:top w:w="100" w:type="dxa"/>
              <w:left w:w="100" w:type="dxa"/>
              <w:bottom w:w="100" w:type="dxa"/>
              <w:right w:w="100" w:type="dxa"/>
            </w:tcMar>
          </w:tcPr>
          <w:p w14:paraId="58E32F98" w14:textId="77777777" w:rsidR="005E334C" w:rsidRPr="004836AF" w:rsidRDefault="00117609" w:rsidP="004836AF">
            <w:pPr>
              <w:widowControl w:val="0"/>
              <w:pBdr>
                <w:top w:val="nil"/>
                <w:left w:val="nil"/>
                <w:bottom w:val="nil"/>
                <w:right w:val="nil"/>
                <w:between w:val="nil"/>
              </w:pBdr>
              <w:spacing w:line="360" w:lineRule="auto"/>
              <w:jc w:val="both"/>
            </w:pPr>
            <w:r w:rsidRPr="004836AF">
              <w:t>Fontana 2008</w:t>
            </w:r>
          </w:p>
        </w:tc>
        <w:tc>
          <w:tcPr>
            <w:tcW w:w="2828" w:type="dxa"/>
            <w:shd w:val="clear" w:color="auto" w:fill="auto"/>
            <w:tcMar>
              <w:top w:w="100" w:type="dxa"/>
              <w:left w:w="100" w:type="dxa"/>
              <w:bottom w:w="100" w:type="dxa"/>
              <w:right w:w="100" w:type="dxa"/>
            </w:tcMar>
          </w:tcPr>
          <w:p w14:paraId="1EA5CAD7"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Urban</w:t>
            </w:r>
            <w:proofErr w:type="spellEnd"/>
            <w:r w:rsidRPr="004836AF">
              <w:t xml:space="preserve"> 2018</w:t>
            </w:r>
          </w:p>
        </w:tc>
        <w:tc>
          <w:tcPr>
            <w:tcW w:w="2828" w:type="dxa"/>
            <w:shd w:val="clear" w:color="auto" w:fill="auto"/>
            <w:tcMar>
              <w:top w:w="100" w:type="dxa"/>
              <w:left w:w="100" w:type="dxa"/>
              <w:bottom w:w="100" w:type="dxa"/>
              <w:right w:w="100" w:type="dxa"/>
            </w:tcMar>
          </w:tcPr>
          <w:p w14:paraId="59634DCE"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Cardaropoli</w:t>
            </w:r>
            <w:proofErr w:type="spellEnd"/>
            <w:r w:rsidRPr="004836AF">
              <w:t xml:space="preserve"> 2013</w:t>
            </w:r>
          </w:p>
        </w:tc>
      </w:tr>
      <w:tr w:rsidR="005E334C" w:rsidRPr="004836AF" w14:paraId="74BFDC88" w14:textId="77777777">
        <w:tc>
          <w:tcPr>
            <w:tcW w:w="2828" w:type="dxa"/>
            <w:shd w:val="clear" w:color="auto" w:fill="auto"/>
            <w:tcMar>
              <w:top w:w="100" w:type="dxa"/>
              <w:left w:w="100" w:type="dxa"/>
              <w:bottom w:w="100" w:type="dxa"/>
              <w:right w:w="100" w:type="dxa"/>
            </w:tcMar>
          </w:tcPr>
          <w:p w14:paraId="6B11B588"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Urban</w:t>
            </w:r>
            <w:proofErr w:type="spellEnd"/>
            <w:r w:rsidRPr="004836AF">
              <w:t xml:space="preserve"> 2009</w:t>
            </w:r>
          </w:p>
        </w:tc>
        <w:tc>
          <w:tcPr>
            <w:tcW w:w="2828" w:type="dxa"/>
            <w:shd w:val="clear" w:color="auto" w:fill="auto"/>
            <w:tcMar>
              <w:top w:w="100" w:type="dxa"/>
              <w:left w:w="100" w:type="dxa"/>
              <w:bottom w:w="100" w:type="dxa"/>
              <w:right w:w="100" w:type="dxa"/>
            </w:tcMar>
          </w:tcPr>
          <w:p w14:paraId="216E181F" w14:textId="77777777" w:rsidR="005E334C" w:rsidRPr="004836AF" w:rsidRDefault="00117609" w:rsidP="004836AF">
            <w:pPr>
              <w:widowControl w:val="0"/>
              <w:spacing w:line="360" w:lineRule="auto"/>
              <w:jc w:val="both"/>
            </w:pPr>
            <w:proofErr w:type="spellStart"/>
            <w:r w:rsidRPr="004836AF">
              <w:t>Cucchi</w:t>
            </w:r>
            <w:proofErr w:type="spellEnd"/>
            <w:r w:rsidRPr="004836AF">
              <w:t xml:space="preserve"> 2019</w:t>
            </w:r>
          </w:p>
        </w:tc>
        <w:tc>
          <w:tcPr>
            <w:tcW w:w="2828" w:type="dxa"/>
            <w:shd w:val="clear" w:color="auto" w:fill="auto"/>
            <w:tcMar>
              <w:top w:w="100" w:type="dxa"/>
              <w:left w:w="100" w:type="dxa"/>
              <w:bottom w:w="100" w:type="dxa"/>
              <w:right w:w="100" w:type="dxa"/>
            </w:tcMar>
          </w:tcPr>
          <w:p w14:paraId="17A01E87" w14:textId="77777777" w:rsidR="005E334C" w:rsidRPr="004836AF" w:rsidRDefault="00117609" w:rsidP="004836AF">
            <w:pPr>
              <w:widowControl w:val="0"/>
              <w:spacing w:line="360" w:lineRule="auto"/>
              <w:jc w:val="both"/>
            </w:pPr>
            <w:proofErr w:type="spellStart"/>
            <w:r w:rsidRPr="004836AF">
              <w:t>Merli</w:t>
            </w:r>
            <w:proofErr w:type="spellEnd"/>
            <w:r w:rsidRPr="004836AF">
              <w:t xml:space="preserve"> 2014</w:t>
            </w:r>
          </w:p>
        </w:tc>
      </w:tr>
      <w:tr w:rsidR="005E334C" w:rsidRPr="004836AF" w14:paraId="1E15A087" w14:textId="77777777">
        <w:tc>
          <w:tcPr>
            <w:tcW w:w="2828" w:type="dxa"/>
            <w:shd w:val="clear" w:color="auto" w:fill="auto"/>
            <w:tcMar>
              <w:top w:w="100" w:type="dxa"/>
              <w:left w:w="100" w:type="dxa"/>
              <w:bottom w:w="100" w:type="dxa"/>
              <w:right w:w="100" w:type="dxa"/>
            </w:tcMar>
          </w:tcPr>
          <w:p w14:paraId="7F7C5626" w14:textId="0841F3C0" w:rsidR="005E334C" w:rsidRPr="004836AF" w:rsidRDefault="00117609" w:rsidP="004836AF">
            <w:pPr>
              <w:widowControl w:val="0"/>
              <w:spacing w:line="360" w:lineRule="auto"/>
              <w:jc w:val="both"/>
            </w:pPr>
            <w:proofErr w:type="spellStart"/>
            <w:r w:rsidRPr="004836AF">
              <w:t>Bei</w:t>
            </w:r>
            <w:r w:rsidR="00FE3F57">
              <w:t>t</w:t>
            </w:r>
            <w:r w:rsidRPr="004836AF">
              <w:t>litum</w:t>
            </w:r>
            <w:proofErr w:type="spellEnd"/>
            <w:r w:rsidRPr="004836AF">
              <w:t xml:space="preserve"> 2010</w:t>
            </w:r>
          </w:p>
        </w:tc>
        <w:tc>
          <w:tcPr>
            <w:tcW w:w="2828" w:type="dxa"/>
            <w:shd w:val="clear" w:color="auto" w:fill="auto"/>
            <w:tcMar>
              <w:top w:w="100" w:type="dxa"/>
              <w:left w:w="100" w:type="dxa"/>
              <w:bottom w:w="100" w:type="dxa"/>
              <w:right w:w="100" w:type="dxa"/>
            </w:tcMar>
          </w:tcPr>
          <w:p w14:paraId="6001DCAD" w14:textId="77777777" w:rsidR="005E334C" w:rsidRPr="004836AF" w:rsidRDefault="005E334C" w:rsidP="004836AF">
            <w:pPr>
              <w:widowControl w:val="0"/>
              <w:pBdr>
                <w:top w:val="nil"/>
                <w:left w:val="nil"/>
                <w:bottom w:val="nil"/>
                <w:right w:val="nil"/>
                <w:between w:val="nil"/>
              </w:pBdr>
              <w:spacing w:line="360" w:lineRule="auto"/>
              <w:jc w:val="both"/>
            </w:pPr>
          </w:p>
        </w:tc>
        <w:tc>
          <w:tcPr>
            <w:tcW w:w="2828" w:type="dxa"/>
            <w:shd w:val="clear" w:color="auto" w:fill="auto"/>
            <w:tcMar>
              <w:top w:w="100" w:type="dxa"/>
              <w:left w:w="100" w:type="dxa"/>
              <w:bottom w:w="100" w:type="dxa"/>
              <w:right w:w="100" w:type="dxa"/>
            </w:tcMar>
          </w:tcPr>
          <w:p w14:paraId="427BAFD7" w14:textId="77777777" w:rsidR="005E334C" w:rsidRPr="004836AF" w:rsidRDefault="005E334C" w:rsidP="004836AF">
            <w:pPr>
              <w:widowControl w:val="0"/>
              <w:pBdr>
                <w:top w:val="nil"/>
                <w:left w:val="nil"/>
                <w:bottom w:val="nil"/>
                <w:right w:val="nil"/>
                <w:between w:val="nil"/>
              </w:pBdr>
              <w:spacing w:line="360" w:lineRule="auto"/>
              <w:jc w:val="both"/>
            </w:pPr>
          </w:p>
        </w:tc>
      </w:tr>
      <w:tr w:rsidR="005E334C" w:rsidRPr="004836AF" w14:paraId="258BB380" w14:textId="77777777">
        <w:tc>
          <w:tcPr>
            <w:tcW w:w="2828" w:type="dxa"/>
            <w:shd w:val="clear" w:color="auto" w:fill="auto"/>
            <w:tcMar>
              <w:top w:w="100" w:type="dxa"/>
              <w:left w:w="100" w:type="dxa"/>
              <w:bottom w:w="100" w:type="dxa"/>
              <w:right w:w="100" w:type="dxa"/>
            </w:tcMar>
          </w:tcPr>
          <w:p w14:paraId="3EBC1137" w14:textId="77777777" w:rsidR="005E334C" w:rsidRPr="004836AF" w:rsidRDefault="00117609" w:rsidP="004836AF">
            <w:pPr>
              <w:widowControl w:val="0"/>
              <w:pBdr>
                <w:top w:val="nil"/>
                <w:left w:val="nil"/>
                <w:bottom w:val="nil"/>
                <w:right w:val="nil"/>
                <w:between w:val="nil"/>
              </w:pBdr>
              <w:spacing w:line="360" w:lineRule="auto"/>
              <w:jc w:val="both"/>
            </w:pPr>
            <w:proofErr w:type="spellStart"/>
            <w:r w:rsidRPr="004836AF">
              <w:t>Canullo</w:t>
            </w:r>
            <w:proofErr w:type="spellEnd"/>
            <w:r w:rsidRPr="004836AF">
              <w:t xml:space="preserve"> 2010</w:t>
            </w:r>
          </w:p>
        </w:tc>
        <w:tc>
          <w:tcPr>
            <w:tcW w:w="2828" w:type="dxa"/>
            <w:shd w:val="clear" w:color="auto" w:fill="auto"/>
            <w:tcMar>
              <w:top w:w="100" w:type="dxa"/>
              <w:left w:w="100" w:type="dxa"/>
              <w:bottom w:w="100" w:type="dxa"/>
              <w:right w:w="100" w:type="dxa"/>
            </w:tcMar>
          </w:tcPr>
          <w:p w14:paraId="4FED5155" w14:textId="77777777" w:rsidR="005E334C" w:rsidRPr="004836AF" w:rsidRDefault="005E334C" w:rsidP="004836AF">
            <w:pPr>
              <w:widowControl w:val="0"/>
              <w:pBdr>
                <w:top w:val="nil"/>
                <w:left w:val="nil"/>
                <w:bottom w:val="nil"/>
                <w:right w:val="nil"/>
                <w:between w:val="nil"/>
              </w:pBdr>
              <w:spacing w:line="360" w:lineRule="auto"/>
              <w:jc w:val="both"/>
            </w:pPr>
          </w:p>
        </w:tc>
        <w:tc>
          <w:tcPr>
            <w:tcW w:w="2828" w:type="dxa"/>
            <w:shd w:val="clear" w:color="auto" w:fill="auto"/>
            <w:tcMar>
              <w:top w:w="100" w:type="dxa"/>
              <w:left w:w="100" w:type="dxa"/>
              <w:bottom w:w="100" w:type="dxa"/>
              <w:right w:w="100" w:type="dxa"/>
            </w:tcMar>
          </w:tcPr>
          <w:p w14:paraId="5E56085D" w14:textId="77777777" w:rsidR="005E334C" w:rsidRPr="004836AF" w:rsidRDefault="005E334C" w:rsidP="004836AF">
            <w:pPr>
              <w:widowControl w:val="0"/>
              <w:pBdr>
                <w:top w:val="nil"/>
                <w:left w:val="nil"/>
                <w:bottom w:val="nil"/>
                <w:right w:val="nil"/>
                <w:between w:val="nil"/>
              </w:pBdr>
              <w:spacing w:line="360" w:lineRule="auto"/>
              <w:jc w:val="both"/>
            </w:pPr>
          </w:p>
        </w:tc>
      </w:tr>
      <w:tr w:rsidR="005E334C" w:rsidRPr="004836AF" w14:paraId="25927A4A" w14:textId="77777777">
        <w:tc>
          <w:tcPr>
            <w:tcW w:w="2828" w:type="dxa"/>
            <w:shd w:val="clear" w:color="auto" w:fill="auto"/>
            <w:tcMar>
              <w:top w:w="100" w:type="dxa"/>
              <w:left w:w="100" w:type="dxa"/>
              <w:bottom w:w="100" w:type="dxa"/>
              <w:right w:w="100" w:type="dxa"/>
            </w:tcMar>
          </w:tcPr>
          <w:p w14:paraId="7B71F58F" w14:textId="77777777" w:rsidR="005E334C" w:rsidRPr="004836AF" w:rsidRDefault="00117609" w:rsidP="004836AF">
            <w:pPr>
              <w:widowControl w:val="0"/>
              <w:pBdr>
                <w:top w:val="nil"/>
                <w:left w:val="nil"/>
                <w:bottom w:val="nil"/>
                <w:right w:val="nil"/>
                <w:between w:val="nil"/>
              </w:pBdr>
              <w:spacing w:line="360" w:lineRule="auto"/>
              <w:jc w:val="both"/>
            </w:pPr>
            <w:r w:rsidRPr="004836AF">
              <w:t>Fontana 2015</w:t>
            </w:r>
          </w:p>
        </w:tc>
        <w:tc>
          <w:tcPr>
            <w:tcW w:w="2828" w:type="dxa"/>
            <w:shd w:val="clear" w:color="auto" w:fill="auto"/>
            <w:tcMar>
              <w:top w:w="100" w:type="dxa"/>
              <w:left w:w="100" w:type="dxa"/>
              <w:bottom w:w="100" w:type="dxa"/>
              <w:right w:w="100" w:type="dxa"/>
            </w:tcMar>
          </w:tcPr>
          <w:p w14:paraId="5DE67AC4" w14:textId="77777777" w:rsidR="005E334C" w:rsidRPr="004836AF" w:rsidRDefault="005E334C" w:rsidP="004836AF">
            <w:pPr>
              <w:widowControl w:val="0"/>
              <w:pBdr>
                <w:top w:val="nil"/>
                <w:left w:val="nil"/>
                <w:bottom w:val="nil"/>
                <w:right w:val="nil"/>
                <w:between w:val="nil"/>
              </w:pBdr>
              <w:spacing w:line="360" w:lineRule="auto"/>
              <w:jc w:val="both"/>
            </w:pPr>
          </w:p>
        </w:tc>
        <w:tc>
          <w:tcPr>
            <w:tcW w:w="2828" w:type="dxa"/>
            <w:shd w:val="clear" w:color="auto" w:fill="auto"/>
            <w:tcMar>
              <w:top w:w="100" w:type="dxa"/>
              <w:left w:w="100" w:type="dxa"/>
              <w:bottom w:w="100" w:type="dxa"/>
              <w:right w:w="100" w:type="dxa"/>
            </w:tcMar>
          </w:tcPr>
          <w:p w14:paraId="6E0088F1" w14:textId="77777777" w:rsidR="005E334C" w:rsidRPr="004836AF" w:rsidRDefault="005E334C" w:rsidP="004836AF">
            <w:pPr>
              <w:widowControl w:val="0"/>
              <w:pBdr>
                <w:top w:val="nil"/>
                <w:left w:val="nil"/>
                <w:bottom w:val="nil"/>
                <w:right w:val="nil"/>
                <w:between w:val="nil"/>
              </w:pBdr>
              <w:spacing w:line="360" w:lineRule="auto"/>
              <w:jc w:val="both"/>
            </w:pPr>
          </w:p>
        </w:tc>
      </w:tr>
    </w:tbl>
    <w:p w14:paraId="7F6A42B8" w14:textId="77777777" w:rsidR="005E334C" w:rsidRPr="004836AF" w:rsidRDefault="00117609" w:rsidP="004836AF">
      <w:pPr>
        <w:spacing w:line="360" w:lineRule="auto"/>
        <w:ind w:right="1420"/>
        <w:jc w:val="both"/>
      </w:pPr>
      <w:r w:rsidRPr="004836AF">
        <w:t>Cuadro 2. Técnicas utilizadas por los estudios consultados.</w:t>
      </w:r>
    </w:p>
    <w:p w14:paraId="2A8E84E1" w14:textId="77777777" w:rsidR="005E334C" w:rsidRPr="004836AF" w:rsidRDefault="005E334C" w:rsidP="004836AF">
      <w:pPr>
        <w:spacing w:line="360" w:lineRule="auto"/>
        <w:ind w:right="1420"/>
        <w:jc w:val="both"/>
      </w:pPr>
    </w:p>
    <w:p w14:paraId="388C8547" w14:textId="055EC3D0" w:rsidR="005E334C" w:rsidRPr="004836AF" w:rsidRDefault="00117609" w:rsidP="005221AF">
      <w:pPr>
        <w:spacing w:line="360" w:lineRule="auto"/>
        <w:ind w:right="1"/>
        <w:jc w:val="both"/>
      </w:pPr>
      <w:r w:rsidRPr="004836AF">
        <w:t>La evidencia científica en cuanto a que técnica es más efectiva y que provoque menor morbilidad es baja. Solamente u</w:t>
      </w:r>
      <w:r w:rsidR="005221AF">
        <w:t xml:space="preserve">n trabajo </w:t>
      </w:r>
      <w:r w:rsidRPr="004836AF">
        <w:t>hace una comparación entr</w:t>
      </w:r>
      <w:r w:rsidR="005221AF">
        <w:t>e</w:t>
      </w:r>
      <w:r w:rsidRPr="004836AF">
        <w:t xml:space="preserve"> ellas, y </w:t>
      </w:r>
      <w:r w:rsidR="005221AF">
        <w:t>además</w:t>
      </w:r>
      <w:r w:rsidRPr="004836AF">
        <w:t xml:space="preserve"> es en cadáveres </w:t>
      </w:r>
      <w:r w:rsidR="005221AF">
        <w:fldChar w:fldCharType="begin" w:fldLock="1"/>
      </w:r>
      <w:r w:rsidR="00B13162">
        <w:instrText>ADDIN CSL_CITATION {"citationItems":[{"id":"ITEM-1","itemData":{"DOI":"10.11607/prd.3227","ISSN":"01987569","abstract":"Vertical ridge augmentation in the posterior mandible is a technique-sensitive procedure that requires adequate anatomical knowledge and precise surgical skills to minimize the risk of complications. One of the most important but also challenging aspects of the surgical technique is proper flap management to allow for passive flap closure and reduce the chances of postoperative complications affecting deep anatomical spaces. This article presents a detailed description of a novel lingual flap advancement technique and its validation via a split-mouth, comparative study using a cadaver model. A total of 12 fresh cadaver heads presenting bilateral posterior mandibular edentulism were selected. Sides were randomized to receive a classic lingual flap release technique (control) or the modified technique presented here, which involves the intentional preservation of the mylohyoid muscle attachment to the mandible. Vertical flap release was measured at three different zones using standard forces. The mean difference between the test and control group in zones I (retromolar pad area), II (middle area), and III (premolar area) was 8.273 ± 1.794 mm (standard error of the mean [SEM] = 0.5409 mm), 10.09 ± 2.948 mm (SEM = 0.8889 mm), and 10.273 ± 2.936 mm (SEM = 0.8851 mm), respectively, reaching very strong statistical significance (P &lt;.0001) in all three zones.","author":[{"dropping-particle":"","family":"Urban","given":"Istvan","non-dropping-particle":"","parse-names":false,"suffix":""},{"dropping-particle":"","family":"Traxler","given":"Hannes","non-dropping-particle":"","parse-names":false,"suffix":""},{"dropping-particle":"","family":"Romero-Bustillos","given":"Miguel","non-dropping-particle":"","parse-names":false,"suffix":""},{"dropping-particle":"","family":"Farkasdi","given":"Sandor","non-dropping-particle":"","parse-names":false,"suffix":""},{"dropping-particle":"","family":"Bartee","given":"Barry","non-dropping-particle":"","parse-names":false,"suffix":""},{"dropping-particle":"","family":"Baksa","given":"Gabor","non-dropping-particle":"","parse-names":false,"suffix":""},{"dropping-particle":"","family":"Avila-Ortiz","given":"Gustavo","non-dropping-particle":"","parse-names":false,"suffix":""}],"container-title":"The International Journal of Periodontics &amp; Restorative Dentistry","id":"ITEM-1","issue":"1","issued":{"date-parts":[["2018"]]},"page":"35-40","title":"Effectiveness of Two Different Lingual Flap Advancing Techniques for Vertical Bone Augmentation in the Posterior Mandible: A Comparative, Split-Mouth Cadaver Study","type":"article-journal","volume":"38"},"uris":["http://www.mendeley.com/documents/?uuid=d906354a-079a-4f9a-bbcd-58a3057d2097"]}],"mendeley":{"formattedCitation":"(32)","plainTextFormattedCitation":"(32)","previouslyFormattedCitation":"(32)"},"properties":{"noteIndex":0},"schema":"https://github.com/citation-style-language/schema/raw/master/csl-citation.json"}</w:instrText>
      </w:r>
      <w:r w:rsidR="005221AF">
        <w:fldChar w:fldCharType="separate"/>
      </w:r>
      <w:r w:rsidR="005221AF" w:rsidRPr="005221AF">
        <w:rPr>
          <w:noProof/>
        </w:rPr>
        <w:t>(32)</w:t>
      </w:r>
      <w:r w:rsidR="005221AF">
        <w:fldChar w:fldCharType="end"/>
      </w:r>
      <w:r w:rsidRPr="004836AF">
        <w:t xml:space="preserve">. De igual manera,  </w:t>
      </w:r>
      <w:r w:rsidR="005221AF">
        <w:t xml:space="preserve">tiene lógica la </w:t>
      </w:r>
      <w:r w:rsidRPr="004836AF">
        <w:t xml:space="preserve">hipótesis </w:t>
      </w:r>
      <w:r w:rsidR="005221AF">
        <w:t xml:space="preserve">de que existe </w:t>
      </w:r>
      <w:r w:rsidRPr="004836AF">
        <w:t>mayor gravedad</w:t>
      </w:r>
      <w:r w:rsidR="00B13162">
        <w:t xml:space="preserve"> en </w:t>
      </w:r>
      <w:r w:rsidRPr="004836AF">
        <w:t xml:space="preserve">una posible infección post operatoria </w:t>
      </w:r>
      <w:r w:rsidR="00B13162">
        <w:t xml:space="preserve">cuando el músculo es </w:t>
      </w:r>
      <w:proofErr w:type="spellStart"/>
      <w:r w:rsidR="00B13162">
        <w:t>desinsertado</w:t>
      </w:r>
      <w:proofErr w:type="spellEnd"/>
      <w:r w:rsidRPr="004836AF">
        <w:t xml:space="preserve">. </w:t>
      </w:r>
      <w:r w:rsidR="00B13162">
        <w:t>También p</w:t>
      </w:r>
      <w:r w:rsidRPr="004836AF">
        <w:t>odrían minimizarse los riesgos</w:t>
      </w:r>
      <w:r w:rsidR="00B13162">
        <w:t xml:space="preserve"> </w:t>
      </w:r>
      <w:r w:rsidRPr="004836AF">
        <w:t xml:space="preserve"> por el uso de instrumentos romos en la disección, evitando daños a las estructuras anatómicas delicadas del piso de boca. </w:t>
      </w:r>
    </w:p>
    <w:p w14:paraId="01E1D0F5" w14:textId="03D70C8F" w:rsidR="005E334C" w:rsidRPr="004836AF" w:rsidRDefault="00117609" w:rsidP="005221AF">
      <w:pPr>
        <w:spacing w:line="360" w:lineRule="auto"/>
        <w:ind w:right="1"/>
        <w:jc w:val="both"/>
      </w:pPr>
      <w:r w:rsidRPr="004836AF">
        <w:lastRenderedPageBreak/>
        <w:t xml:space="preserve">Por estos motivos es que pese a la baja calidad de evidencia nos inclinamos hacia la técnica propuesta en el estudio de </w:t>
      </w:r>
      <w:proofErr w:type="spellStart"/>
      <w:r w:rsidRPr="004836AF">
        <w:t>Urban</w:t>
      </w:r>
      <w:proofErr w:type="spellEnd"/>
      <w:r w:rsidRPr="004836AF">
        <w:t xml:space="preserve"> </w:t>
      </w:r>
      <w:r w:rsidR="00B13162">
        <w:t xml:space="preserve"> </w:t>
      </w:r>
      <w:r w:rsidRPr="004836AF">
        <w:t xml:space="preserve">en la que no se </w:t>
      </w:r>
      <w:proofErr w:type="spellStart"/>
      <w:r w:rsidRPr="004836AF">
        <w:t>desinserta</w:t>
      </w:r>
      <w:proofErr w:type="spellEnd"/>
      <w:r w:rsidRPr="004836AF">
        <w:t xml:space="preserve"> el músculo </w:t>
      </w:r>
      <w:proofErr w:type="spellStart"/>
      <w:r w:rsidRPr="004836AF">
        <w:t>milohioideo</w:t>
      </w:r>
      <w:proofErr w:type="spellEnd"/>
      <w:r w:rsidR="00B13162">
        <w:t xml:space="preserve"> </w:t>
      </w:r>
      <w:r w:rsidR="00B13162">
        <w:fldChar w:fldCharType="begin" w:fldLock="1"/>
      </w:r>
      <w:r w:rsidR="00B13162">
        <w:instrText>ADDIN CSL_CITATION {"citationItems":[{"id":"ITEM-1","itemData":{"DOI":"10.11607/prd.3227","ISSN":"01987569","abstract":"Vertical ridge augmentation in the posterior mandible is a technique-sensitive procedure that requires adequate anatomical knowledge and precise surgical skills to minimize the risk of complications. One of the most important but also challenging aspects of the surgical technique is proper flap management to allow for passive flap closure and reduce the chances of postoperative complications affecting deep anatomical spaces. This article presents a detailed description of a novel lingual flap advancement technique and its validation via a split-mouth, comparative study using a cadaver model. A total of 12 fresh cadaver heads presenting bilateral posterior mandibular edentulism were selected. Sides were randomized to receive a classic lingual flap release technique (control) or the modified technique presented here, which involves the intentional preservation of the mylohyoid muscle attachment to the mandible. Vertical flap release was measured at three different zones using standard forces. The mean difference between the test and control group in zones I (retromolar pad area), II (middle area), and III (premolar area) was 8.273 ± 1.794 mm (standard error of the mean [SEM] = 0.5409 mm), 10.09 ± 2.948 mm (SEM = 0.8889 mm), and 10.273 ± 2.936 mm (SEM = 0.8851 mm), respectively, reaching very strong statistical significance (P &lt;.0001) in all three zones.","author":[{"dropping-particle":"","family":"Urban","given":"Istvan","non-dropping-particle":"","parse-names":false,"suffix":""},{"dropping-particle":"","family":"Traxler","given":"Hannes","non-dropping-particle":"","parse-names":false,"suffix":""},{"dropping-particle":"","family":"Romero-Bustillos","given":"Miguel","non-dropping-particle":"","parse-names":false,"suffix":""},{"dropping-particle":"","family":"Farkasdi","given":"Sandor","non-dropping-particle":"","parse-names":false,"suffix":""},{"dropping-particle":"","family":"Bartee","given":"Barry","non-dropping-particle":"","parse-names":false,"suffix":""},{"dropping-particle":"","family":"Baksa","given":"Gabor","non-dropping-particle":"","parse-names":false,"suffix":""},{"dropping-particle":"","family":"Avila-Ortiz","given":"Gustavo","non-dropping-particle":"","parse-names":false,"suffix":""}],"container-title":"The International Journal of Periodontics &amp; Restorative Dentistry","id":"ITEM-1","issue":"1","issued":{"date-parts":[["2018"]]},"page":"35-40","title":"Effectiveness of Two Different Lingual Flap Advancing Techniques for Vertical Bone Augmentation in the Posterior Mandible: A Comparative, Split-Mouth Cadaver Study","type":"article-journal","volume":"38"},"uris":["http://www.mendeley.com/documents/?uuid=d906354a-079a-4f9a-bbcd-58a3057d2097"]}],"mendeley":{"formattedCitation":"(32)","plainTextFormattedCitation":"(32)","previouslyFormattedCitation":"(32)"},"properties":{"noteIndex":0},"schema":"https://github.com/citation-style-language/schema/raw/master/csl-citation.json"}</w:instrText>
      </w:r>
      <w:r w:rsidR="00B13162">
        <w:fldChar w:fldCharType="separate"/>
      </w:r>
      <w:r w:rsidR="00B13162" w:rsidRPr="00B13162">
        <w:rPr>
          <w:noProof/>
        </w:rPr>
        <w:t>(32)</w:t>
      </w:r>
      <w:r w:rsidR="00B13162">
        <w:fldChar w:fldCharType="end"/>
      </w:r>
      <w:r w:rsidRPr="004836AF">
        <w:t>.</w:t>
      </w:r>
    </w:p>
    <w:p w14:paraId="4F1A0A84" w14:textId="349F38F5" w:rsidR="005E334C" w:rsidRPr="004836AF" w:rsidRDefault="00117609" w:rsidP="005221AF">
      <w:pPr>
        <w:spacing w:line="360" w:lineRule="auto"/>
        <w:ind w:right="1"/>
        <w:jc w:val="both"/>
      </w:pPr>
      <w:r w:rsidRPr="004836AF">
        <w:t xml:space="preserve">En cuanto al material de relleno  el injerto autólogo ha sido considerado el patrón </w:t>
      </w:r>
      <w:r w:rsidR="00FE3F57">
        <w:t xml:space="preserve">de referencia </w:t>
      </w:r>
      <w:r w:rsidRPr="004836AF">
        <w:t>para las técnicas regenerativas debido a su alta biocompatibilidad, propiedades os</w:t>
      </w:r>
      <w:r w:rsidR="00B13162">
        <w:t>t</w:t>
      </w:r>
      <w:r w:rsidRPr="004836AF">
        <w:t>eogénicas, os</w:t>
      </w:r>
      <w:r w:rsidR="00B13162">
        <w:t>t</w:t>
      </w:r>
      <w:r w:rsidRPr="004836AF">
        <w:t>eoinductivas y  os</w:t>
      </w:r>
      <w:r w:rsidR="00B13162">
        <w:t>t</w:t>
      </w:r>
      <w:r w:rsidRPr="004836AF">
        <w:t>eoconductivas. Su efectividad para el AVR con ROG la afirman varios estudios como el que realizado por  I.Urban en 2009. Con un seguimiento a 6 años la tasa de éxito era similar a la de los implantes colocados en hueso nativo. Existiendo una estabilidad del remodelado óseo marginal a los 5 años de instalada la rehabilitación, sin importar el sitio de donde se hubiera tomado el injerto</w:t>
      </w:r>
      <w:r w:rsidR="00B13162">
        <w:t xml:space="preserve"> </w:t>
      </w:r>
      <w:r w:rsidR="00B13162">
        <w:fldChar w:fldCharType="begin" w:fldLock="1"/>
      </w:r>
      <w:r w:rsidR="00B13162">
        <w:instrText>ADDIN CSL_CITATION {"citationItems":[{"id":"ITEM-1","itemData":{"abstract":"Purpose: The aims of the current study were to: (1) evaluate the results of vertical guided bone regen-eration (GBR) with particulate autogenous bone grafts, (2) determine clinically and radiographically the success and survival rates of 82 implants placed in such surgical sites after prosthetic loading for 12 to 72 months, and (3) compare defects that were treated simultaneously with sinus augmentation and vertical GBR to other areas of the jaw treated with vertical GBR only. Materials and Methods: Eighty-two implants were inserted in 35 patients with 36 three-dimensional vertical bone defects. The patients were divided into three groups: single missing teeth (group A), multiple missing teeth (group B), and vertical defects in the posterior maxilla only (group C). All group C subjects were treated simultaneously with sinus and vertical augmentations. All patients were treated with vertical ridge augmentation utilizing titanium-reinforced polytetrafluoroethylene (e-PTFE) membranes and particulated auto-grafts. After removal of the e-PTFE membrane, all sites received a collagen membrane. Results: At membrane removal, mean vertical augmentation was 5.5 mm (± 2.29 mm). Mean combined crestal remodeling was 1.01 mm (± 0.57 mm) at 12 months, which remained stable through the 6-year follow-up period. There were no statistically significant differences between the three groups in mean marginal bone remodeling. One defect had a bone graft complication (2.78%, 95% CI: 0.00%, 8.15%). The overall implant survival rate was 100% with a cumulative success rate of 94.7%. Conclusions: (1) Vertical augmentation with e-PTFE membranes and particulated autografts is a safe and predictable treatment; (2) success and survival rates of implants placed in vertically augmented bone with the GBR technique appear similar to implants placed in native bone under loading conditions; (3) success and failure rates of implants placed into bone regenerated simultanously with sinus and vertical augmentation techniques compare favorably to those requiring only vertical augmentation. INT J ORAL MAXILLOFAC IMPLANTS 2009;24:502-510","author":[{"dropping-particle":"","family":"Urban","given":"Istvan A","non-dropping-particle":"","parse-names":false,"suffix":""},{"dropping-particle":"","family":"Jovanovic","given":"Sascha A","non-dropping-particle":"","parse-names":false,"suffix":""},{"dropping-particle":"","family":"Lozada","given":"Jaime L","non-dropping-particle":"","parse-names":false,"suffix":""}],"id":"ITEM-1","issued":{"date-parts":[["2009"]]},"number-of-pages":"502","title":"Vertical Ridge Augmentation Using Guided Bone Regeneration (GBR) in Three Clinical Scenarios Prior to Implant Placement: A Retrospective Study of 35 Patients 12 to 72 Months After Loading","type":"report","volume":"24"},"uris":["http://www.mendeley.com/documents/?uuid=5fcdd584-3aef-3c3b-b161-83f50964c5d2"]}],"mendeley":{"formattedCitation":"(34)","plainTextFormattedCitation":"(34)","previouslyFormattedCitation":"(34)"},"properties":{"noteIndex":0},"schema":"https://github.com/citation-style-language/schema/raw/master/csl-citation.json"}</w:instrText>
      </w:r>
      <w:r w:rsidR="00B13162">
        <w:fldChar w:fldCharType="separate"/>
      </w:r>
      <w:r w:rsidR="00B13162" w:rsidRPr="00B13162">
        <w:rPr>
          <w:noProof/>
        </w:rPr>
        <w:t>(34)</w:t>
      </w:r>
      <w:r w:rsidR="00B13162">
        <w:fldChar w:fldCharType="end"/>
      </w:r>
      <w:r w:rsidRPr="004836AF">
        <w:t xml:space="preserve">. </w:t>
      </w:r>
      <w:r w:rsidR="00A56A8E" w:rsidRPr="004836AF">
        <w:t>Sin embargo</w:t>
      </w:r>
      <w:r w:rsidR="00A56A8E">
        <w:t>,</w:t>
      </w:r>
      <w:r w:rsidR="00A56A8E" w:rsidRPr="004836AF">
        <w:t xml:space="preserve"> la cantidad disponible para su toma de fuentes intraorales es limitada. </w:t>
      </w:r>
      <w:r w:rsidRPr="004836AF">
        <w:t xml:space="preserve">Cuando el sitio donante es extra oral la posibilidad de grandes </w:t>
      </w:r>
      <w:r w:rsidR="00A56A8E" w:rsidRPr="004836AF">
        <w:t>regeneraciones</w:t>
      </w:r>
      <w:r w:rsidRPr="004836AF">
        <w:t xml:space="preserve"> aumenta junto con  la complejidad de la cirugía y con la morbilidad del sitio donante. Simion no encuentra diferencia </w:t>
      </w:r>
      <w:r w:rsidR="00A56A8E" w:rsidRPr="004836AF">
        <w:t>estadísticamente</w:t>
      </w:r>
      <w:r w:rsidRPr="004836AF">
        <w:t xml:space="preserve"> significativa cuando compara la histomorfometría del relleno con hueso autólogo con aloinjerto en cuanto a la cantidad de hueso neo formado</w:t>
      </w:r>
      <w:r w:rsidR="00B13162">
        <w:t xml:space="preserve"> </w:t>
      </w:r>
      <w:r w:rsidR="00B13162">
        <w:fldChar w:fldCharType="begin" w:fldLock="1"/>
      </w:r>
      <w:r w:rsidR="00B13162">
        <w:instrText>ADDIN CSL_CITATION {"citationItems":[{"id":"ITEM-1","itemData":{"ISSN":"0198-7569","PMID":"9558553","abstract":"This study investigated the effect on vertical bone regeneration of the addition of demineralized freeze-dried bone allograft or autogenous bone chips to a membrane technique. Twenty partially edentulous patients with vertical jawbone deficiencies were selected for this study. The patients were divided into two groups of 10 individuals. The 10 patients of Group A received 26 Brånemark implants in 10 surgical sites. The 10 patients of Group B received 32 implants in 12 surgical sites. Fifty-two out of 58 implants (22 in Group A and 30 in Group B) extended 1.5 to 7.5 mm superior to the bone crest. Titanium-reinforced expanded polytetrafluoroethylene membranes were used to cover the implants and, before complete membrane fixation, demineralized freeze-dried bone allograft particles were condensed under the membrane in Group A, and autogenous bone chips were used in Group B. At the reentry after 7 to 11 months the membranes were removed and a small biopsy was collected from 11 sites comprehending the miniscrews. The clinical measurements from Group A demonstrated a mean vertical bone gain of 3.1 mm (SD = 0.9 mm, range 1 to 5 mm) with a mean percentage of bone gain of 124% (SD = 46.6%). The measurements from Group B showed a mean vertical bone gain of 5.02 mm (SD = 2.3 mm, range 1 to 8.5 mm) with a mean percentage of bone gain of 95% (SD = 26.8%). Histomorphometric analysis of the present study clearly demonstrated a direct correlation between the density of the pre-existing bone and the density of the regenerated bone. The mean percentage of new bone-titanium contact was from 39.1% to 63.2%, depending on the quality of the pre-existing bone. Both the clinical and histologic results indicate a beneficial effect of the addition of demineralized freeze-dried bone allograft or autogenous bone particles to vertical ridge augmentation procedures in humans.","author":[{"dropping-particle":"","family":"Simion","given":"M","non-dropping-particle":"","parse-names":false,"suffix":""},{"dropping-particle":"","family":"Jovanovic","given":"S A","non-dropping-particle":"","parse-names":false,"suffix":""},{"dropping-particle":"","family":"Trisi","given":"P","non-dropping-particle":"","parse-names":false,"suffix":""},{"dropping-particle":"","family":"Scarano","given":"A","non-dropping-particle":"","parse-names":false,"suffix":""},{"dropping-particle":"","family":"Piattelli","given":"A","non-dropping-particle":"","parse-names":false,"suffix":""}],"container-title":"The International journal of periodontics &amp; restorative dentistry","id":"ITEM-1","issue":"1","issued":{"date-parts":[["1998"]]},"number-of-pages":"8-23","title":"Vertical ridge augmentation around dental implants using a membrane technique and autogenous bone or allografts in humans.","type":"report","volume":"18"},"uris":["http://www.mendeley.com/documents/?uuid=0a79f651-c566-383d-b3e4-d085198ab13c"]}],"mendeley":{"formattedCitation":"(36)","plainTextFormattedCitation":"(36)","previouslyFormattedCitation":"(36)"},"properties":{"noteIndex":0},"schema":"https://github.com/citation-style-language/schema/raw/master/csl-citation.json"}</w:instrText>
      </w:r>
      <w:r w:rsidR="00B13162">
        <w:fldChar w:fldCharType="separate"/>
      </w:r>
      <w:r w:rsidR="00B13162" w:rsidRPr="00B13162">
        <w:rPr>
          <w:noProof/>
        </w:rPr>
        <w:t>(36)</w:t>
      </w:r>
      <w:r w:rsidR="00B13162">
        <w:fldChar w:fldCharType="end"/>
      </w:r>
      <w:r w:rsidRPr="004836AF">
        <w:t xml:space="preserve">. </w:t>
      </w:r>
      <w:r w:rsidR="00A56A8E" w:rsidRPr="004836AF">
        <w:t>Bei</w:t>
      </w:r>
      <w:r w:rsidR="00A56A8E">
        <w:t>tlitum</w:t>
      </w:r>
      <w:r w:rsidR="00B13162">
        <w:t xml:space="preserve"> </w:t>
      </w:r>
      <w:r w:rsidRPr="004836AF">
        <w:t xml:space="preserve"> comparando autoinjerto con aloinjerto logra resultados similares en la ganancia ósea entre grupos. No logrando demostrar  la ventaja del hueso autólogo particulado en la ROG</w:t>
      </w:r>
      <w:r w:rsidR="00B13162">
        <w:t xml:space="preserve"> </w:t>
      </w:r>
      <w:r w:rsidR="00B13162">
        <w:fldChar w:fldCharType="begin" w:fldLock="1"/>
      </w:r>
      <w:r w:rsidR="00B13162">
        <w:instrText>ADDIN CSL_CITATION {"citationItems":[{"id":"ITEM-1","itemData":{"DOI":"10.1111/j.1600-0501.2010.01936.x","ISSN":"09057161","abstract":"The evaluate the clinical outcome of bone augmentation with the use of particulate mineralized freeze-dried bone allograft (FDBA) with or without the addition of autogeneous bone chips, applied in a bi-layered (BL) technique, covered by a resorbable cross-linked collagen membrane.","author":[{"dropping-particle":"","family":"Beitlitum","given":"Ilan","non-dropping-particle":"","parse-names":false,"suffix":""},{"dropping-particle":"","family":"Artzi","given":"Zvi","non-dropping-particle":"","parse-names":false,"suffix":""},{"dropping-particle":"","family":"Nemcovsky","given":"Carlos E.","non-dropping-particle":"","parse-names":false,"suffix":""}],"container-title":"Clinical Oral Implants Research","id":"ITEM-1","issue":"11","issued":{"date-parts":[["2010","11"]]},"page":"1242-1250","title":"Clinical evaluation of particulate allogeneic with and without autogenous bone grafts and resorbable collagen membranes for bone augmentation of atrophic alveolar ridges","type":"article-journal","volume":"21"},"uris":["http://www.mendeley.com/documents/?uuid=8c3bd654-c8c8-39eb-857f-09ac5b09250d"]}],"mendeley":{"formattedCitation":"(38)","plainTextFormattedCitation":"(38)","previouslyFormattedCitation":"(38)"},"properties":{"noteIndex":0},"schema":"https://github.com/citation-style-language/schema/raw/master/csl-citation.json"}</w:instrText>
      </w:r>
      <w:r w:rsidR="00B13162">
        <w:fldChar w:fldCharType="separate"/>
      </w:r>
      <w:r w:rsidR="00B13162" w:rsidRPr="00B13162">
        <w:rPr>
          <w:noProof/>
        </w:rPr>
        <w:t>(38)</w:t>
      </w:r>
      <w:r w:rsidR="00B13162">
        <w:fldChar w:fldCharType="end"/>
      </w:r>
      <w:r w:rsidRPr="004836AF">
        <w:t xml:space="preserve">. De la misma </w:t>
      </w:r>
      <w:r w:rsidR="00B13162">
        <w:t xml:space="preserve">forma </w:t>
      </w:r>
      <w:r w:rsidRPr="004836AF">
        <w:t>en otro ECCA Fontana encuentra resultados similares entre el relleno con un aloinjerto y el hueso autólogo particulado. Aunque en este caso diferencias estadísticamente significativas no pudieron lograrse debido al bajo número de la muestra, la biopsia arrojó un promedio de hueso mineralizado de 32,98% y de 34,13% en los grupos de estudio y control respectivamente</w:t>
      </w:r>
      <w:r w:rsidR="00B13162">
        <w:fldChar w:fldCharType="begin" w:fldLock="1"/>
      </w:r>
      <w:r w:rsidR="00B13162">
        <w:instrText>ADDIN CSL_CITATION {"citationItems":[{"id":"ITEM-1","itemData":{"abstract":"Purpose: To compare clinically and histologically an allogeneic bone matrix to autogenous bone chips in the vertical ridge augmentation technique using titanium-reinforced e-PTFE membranes. Materials and Methods: The study protocol was designed to include patients with bilateral posterior mandibular partial edentulism. Patients were treated with a split-mouth design approach: each side was randomly assigned to the test group (titanium-reinforced e-PTFE membrane and allogeneic bone matrix) or to the control group (titanium-reinforced e-PTFE membrane and autogenous bone chips). Different clinical parameters including the amount of vertically regenerated bone (DSB) and biologic complications were recorded. Histomorphometric analysis and the bone-implant contact percentage were performed. Results: Five female patients were enrolled in the study. Ten edentulous sites were vertically augmented and 25 implants were inserted (13 test group, 12 control group) with a staged approach. In the test group no membrane was exposed. The mean bone regeneration was 4.70 mm (SD 0.48 mm). All 13 implants appeared clinically stable. In the control group, 1 membrane was exposed after 2 months. The mean crestal bone regeneration was 4.10 mm (SD 0.88 mm). All 12 implants were stable at the abutment connection. Nine biopsy specimens from the regenerated areas were evaluated. Vertical bone regeneration was evident in both groups since all the samples demonstrated trabecular bone with different degrees of maturation and mineralization in the regenerated area. Conclusion: Within the limits of this study based on 5 patients, it appears that the behavior of the allogeneic bone matrix is similar to that of autogenous bone chips when used for vertical ridge augmentation by means of guided bone regeneration techniques. Both grafts demonstrated analogous histologic characteristics. Nevertheless, long-term clinical studies are needed to confirm these preliminary results. INT J ORAL","author":[{"dropping-particle":"","family":"Fontana","given":"Filippo","non-dropping-particle":"","parse-names":false,"suffix":""},{"dropping-particle":"","family":"Santoro","given":"Franco","non-dropping-particle":"","parse-names":false,"suffix":""},{"dropping-particle":"","family":"Maiorana","given":"Carlo","non-dropping-particle":"","parse-names":false,"suffix":""},{"dropping-particle":"","family":"Iezzi","given":"Giovanna","non-dropping-particle":"","parse-names":false,"suffix":""},{"dropping-particle":"","family":"Piattelli","given":"Adriano","non-dropping-particle":"","parse-names":false,"suffix":""},{"dropping-particle":"","family":"Simion","given":"Massimo","non-dropping-particle":"","parse-names":false,"suffix":""}],"id":"ITEM-1","issued":{"date-parts":[["2008"]]},"title":"Clinical and Histologic Evaluation of Allogeneic Bone Matrix Versus Autogenous Bone Chips Associated with Titanium-Reinforced e-PTFE Membrane for Vertical Ridge Augmentation: A Prospective Pilot Study","type":"report"},"uris":["http://www.mendeley.com/documents/?uuid=08fd0075-8399-31b7-90bb-2d310f8d9968"]}],"mendeley":{"formattedCitation":"(35)","plainTextFormattedCitation":"(35)","previouslyFormattedCitation":"(35)"},"properties":{"noteIndex":0},"schema":"https://github.com/citation-style-language/schema/raw/master/csl-citation.json"}</w:instrText>
      </w:r>
      <w:r w:rsidR="00B13162">
        <w:fldChar w:fldCharType="separate"/>
      </w:r>
      <w:r w:rsidR="00B13162" w:rsidRPr="00B13162">
        <w:rPr>
          <w:noProof/>
        </w:rPr>
        <w:t>(35)</w:t>
      </w:r>
      <w:r w:rsidR="00B13162">
        <w:fldChar w:fldCharType="end"/>
      </w:r>
      <w:r w:rsidRPr="004836AF">
        <w:t>.</w:t>
      </w:r>
      <w:r w:rsidR="00B13162">
        <w:t xml:space="preserve"> </w:t>
      </w:r>
      <w:r w:rsidRPr="004836AF">
        <w:t xml:space="preserve">Los recientemente mencionados son estudios con mayor evidencia científica sobre la temática (ECCA y </w:t>
      </w:r>
      <w:r w:rsidR="00A56A8E" w:rsidRPr="004836AF">
        <w:t>ECC) en</w:t>
      </w:r>
      <w:r w:rsidRPr="004836AF">
        <w:t xml:space="preserve"> cuanto al relleno con autoinjerto particulado o un aloinjerto.  Todos coinciden en que no hay diferencias  en cuanto a resultados clínicos e histomorfométricos cuando se considera el  uso de hueso autólogo frente a un sustituto alogénico. En la misma línea </w:t>
      </w:r>
      <w:r w:rsidR="00A56A8E" w:rsidRPr="004836AF">
        <w:t>están</w:t>
      </w:r>
      <w:r w:rsidRPr="004836AF">
        <w:t xml:space="preserve"> los estudios de serie de casos revisados (</w:t>
      </w:r>
      <w:r w:rsidR="00B13162">
        <w:fldChar w:fldCharType="begin" w:fldLock="1"/>
      </w:r>
      <w:r w:rsidR="00B13162">
        <w:instrText>ADDIN CSL_CITATION {"citationItems":[{"id":"ITEM-1","itemData":{"DOI":"10.1902/jop.2008.080061","ISSN":"0022-3492","abstract":"Background: Recently, the use of bovine bone mineral (BBM) in combination with autogenous bone for alveolar ridge augmentation before implant placement has increased in favor because of concerns over morbidity associated with extraoral donor sites. The aim of this prospective study was to evaluate the clinical and radiographic parameters of implants placed in augmented ridges using a 70:30 mixture of autogenous bone and BBM in association with micro-mesh over a 2-year period. Methods: Sixteen partially edentulous patients requiring bone augmentation were consecutively treated for 19 reconstructive procedures and delayed implant placement (44 implants) after 8 to 9 months of submerged mesh healing. Clinical examinations were performed and radiographs of the implants were taken 6 months after prosthetic loading and once a year during a 2-year follow-up. Results: Only one (5.3%) of the 19 micro-meshes became exposed after 2 months and was removed. Computed tomography scans of the alveolar ridge pre- and postreconstruction demonstrated mean vertical augmentation of 3.71 ± 1.24 mm and mean horizontal augmentation of 4.16 ± 0.59 mm. All of the implants were retained after 2 years, yielding a 100% survival rate. The mean bone resorption around the implants was 1.37 ± 0.32 mm during the observation period. Only three implants demonstrated bone resorption &gt;2 mm, whereas 41 implants were considered clinically successful, resulting in a success rate of 93.1%. Conclusion: This 2-year prospective study demonstrated that implants placed into augmented bone using this technique exhibited peri-implant stability with high survival (100%) and success (93.1%) rates.","author":[{"dropping-particle":"","family":"Pieri","given":"Francesco","non-dropping-particle":"","parse-names":false,"suffix":""},{"dropping-particle":"","family":"Corinaldesi","given":"Giuseppe","non-dropping-particle":"","parse-names":false,"suffix":""},{"dropping-particle":"","family":"Fini","given":"Milena","non-dropping-particle":"","parse-names":false,"suffix":""},{"dropping-particle":"","family":"Aldini","given":"Nicolò Nicoli","non-dropping-particle":"","parse-names":false,"suffix":""},{"dropping-particle":"","family":"Giardino","given":"Roberto","non-dropping-particle":"","parse-names":false,"suffix":""},{"dropping-particle":"","family":"Marchetti","given":"Claudio","non-dropping-particle":"","parse-names":false,"suffix":""}],"container-title":"Journal of Periodontology","id":"ITEM-1","issue":"11","issued":{"date-parts":[["2008","11"]]},"page":"2093-2103","publisher":"Wiley","title":"Alveolar Ridge Augmentation With Titanium Mesh and a Combination of Autogenous Bone and Anorganic Bovine Bone: A 2-Year Prospective Study","type":"article-journal","volume":"79"},"uris":["http://www.mendeley.com/documents/?uuid=02d7f209-6f1d-3fa2-89d2-5efae9ad5f49"]}],"mendeley":{"formattedCitation":"(52)","plainTextFormattedCitation":"(52)","previouslyFormattedCitation":"(52)"},"properties":{"noteIndex":0},"schema":"https://github.com/citation-style-language/schema/raw/master/csl-citation.json"}</w:instrText>
      </w:r>
      <w:r w:rsidR="00B13162">
        <w:fldChar w:fldCharType="separate"/>
      </w:r>
      <w:r w:rsidR="00B13162" w:rsidRPr="00B13162">
        <w:rPr>
          <w:noProof/>
        </w:rPr>
        <w:t>(52)</w:t>
      </w:r>
      <w:r w:rsidR="00B13162">
        <w:fldChar w:fldCharType="end"/>
      </w:r>
      <w:r w:rsidR="00B13162">
        <w:fldChar w:fldCharType="begin" w:fldLock="1"/>
      </w:r>
      <w:r w:rsidR="00B13162">
        <w:instrText>ADDIN CSL_CITATION {"citationItems":[{"id":"ITEM-1","itemData":{"DOI":"10.11607/prd.2136","ISSN":"01987569","abstract":"The aim of this study was to retrospectively evaluate 75 implants inserted in vertically augmented bone at the time of or prior to implant placement after 1 to 6 years of prosthetic loading. The study included 21 patients (29 surgical sites). The vertical procedure was performed combining a titanium-reinforced expanded polytetrafluoroethylene membrane with autograft (7 sites), allograft (5 sites), or auto-xenograft (17 sites). Healing was uneventful in 24 surgical sites. Three sites showed premature exposure, and two sites presented an abscess. Two implants were lost, for a cumulative survival rate of 93.6%. Mean bone remodeling at 1, 2, 3, 4, 5, and 6 years was 0.34, 0.72, 1.04, 0.84, 0.56, and 0.61 mm, respectively. The implant success rate was higher with a simultaneous approach (82.5%) compared with a staged approach (66.8%). Implants surrounded by keratinized mucosa revealed a higher success rate (82.1%) than those without it (58.4%).","author":[{"dropping-particle":"","family":"Fontana","given":"Filippo","non-dropping-particle":"","parse-names":false,"suffix":""},{"dropping-particle":"","family":"Grossi","given":"Giovanni","non-dropping-particle":"","parse-names":false,"suffix":""},{"dropping-particle":"","family":"Fimano","given":"Maurizio","non-dropping-particle":"","parse-names":false,"suffix":""},{"dropping-particle":"","family":"Maiorana","given":"Carlo","non-dropping-particle":"","parse-names":false,"suffix":""}],"container-title":"International Journal of Periodontics and Restorative Dentistry","id":"ITEM-1","issue":"1","issued":{"date-parts":[["2015","1"]]},"page":"29-39","publisher":"Quintessence Publishing","title":"Osseointegrated Implants in Vertical Ridge Augmentation with a Nonresorbable Membrane: A Retrospective Study of 75 Implants with 1 to 6 Years of Follow-up","type":"article-journal","volume":"35"},"uris":["http://www.mendeley.com/documents/?uuid=d85003dd-1779-3411-a7fd-44c187773652"]}],"mendeley":{"formattedCitation":"(40)","plainTextFormattedCitation":"(40)","previouslyFormattedCitation":"(40)"},"properties":{"noteIndex":0},"schema":"https://github.com/citation-style-language/schema/raw/master/csl-citation.json"}</w:instrText>
      </w:r>
      <w:r w:rsidR="00B13162">
        <w:fldChar w:fldCharType="separate"/>
      </w:r>
      <w:r w:rsidR="00B13162" w:rsidRPr="00B13162">
        <w:rPr>
          <w:noProof/>
        </w:rPr>
        <w:t>(40)</w:t>
      </w:r>
      <w:r w:rsidR="00B13162">
        <w:fldChar w:fldCharType="end"/>
      </w:r>
      <w:r w:rsidR="00B13162">
        <w:fldChar w:fldCharType="begin" w:fldLock="1"/>
      </w:r>
      <w:r w:rsidR="00B13162">
        <w:instrText>ADDIN CSL_CITATION {"citationItems":[{"id":"ITEM-1","itemData":{"DOI":"10.1034/j.1600-0501.2001.012001035.x","ISSN":"09057161","abstract":"The purpose of the present study was to evaluate retrospectively, after 1 to 5 years of prosthetic loading, 123 implants consecutively inserted at the time of vertical ridge augmentation in 4 clinics. At the time of the implant surgery, 3 different techniques were used: the implants were allowed to protrude 2 to 7 mm from the bone level and a titanium reinforced expanded-polytetrafluoroethylene (e-PTFE) membrane was positioned to protect either the blood clot (Group A, 6 patients), or an allograft (Group B, 11 patients), or an autograft (Group C, 32 patients). The annual implant evaluation was carried out according to a standard protocol utilized for long term studies with endosseous implants inserted in non-regenerated bone. Only 1 implant failed immediately after the second stage surgery and after 1 month it was substituted with a new implant. All the remaining implants appeared clinically stable, no signs of radiolucency were present at the bone-implant interface, therefore, they could be defined successfully osseointegrated. The radiographic analysis showed stable bone crest levels with a mean bone loss of 1.35 mm for the Group A, of 1.87 mm for the Group B and of 1.71 for the Group C during the period of observation. Only 2 implants demonstrated an increased crestal bone loss of 3.5 mm and 4 mm respectively at the first year examination. On the base of these results, we can confirm previous long term studies on regenerated bone and we can conclude that vertically augmented bone with GBR techniques responds to implant placement like native, non-regenerated bone.","author":[{"dropping-particle":"","family":"Simion","given":"Massimo","non-dropping-particle":"","parse-names":false,"suffix":""},{"dropping-particle":"","family":"Jovanovic","given":"Sascha A.","non-dropping-particle":"","parse-names":false,"suffix":""},{"dropping-particle":"","family":"Tinti","given":"Carlo","non-dropping-particle":"","parse-names":false,"suffix":""},{"dropping-particle":"","family":"Benfenati","given":"Stefano Parma","non-dropping-particle":"","parse-names":false,"suffix":""}],"container-title":"Clinical Oral Implants Research","id":"ITEM-1","issue":"1","issued":{"date-parts":[["2001"]]},"number-of-pages":"35-45","title":"Long-term evaluation of osseointegrated implants inserted at the time or after vertical ridge augmentation: A retrospective study on I23 implants with I-5 year follow-up","type":"report","volume":"12"},"uris":["http://www.mendeley.com/documents/?uuid=9346a926-3878-3f58-8b13-e8a60b2f5aea"]}],"mendeley":{"formattedCitation":"(33)","plainTextFormattedCitation":"(33)","previouslyFormattedCitation":"(33)"},"properties":{"noteIndex":0},"schema":"https://github.com/citation-style-language/schema/raw/master/csl-citation.json"}</w:instrText>
      </w:r>
      <w:r w:rsidR="00B13162">
        <w:fldChar w:fldCharType="separate"/>
      </w:r>
      <w:r w:rsidR="00B13162" w:rsidRPr="00B13162">
        <w:rPr>
          <w:noProof/>
        </w:rPr>
        <w:t>(33)</w:t>
      </w:r>
      <w:r w:rsidR="00B13162">
        <w:fldChar w:fldCharType="end"/>
      </w:r>
      <w:r w:rsidR="00B13162">
        <w:t>.</w:t>
      </w:r>
    </w:p>
    <w:p w14:paraId="351236AF" w14:textId="686C118F" w:rsidR="005E334C" w:rsidRPr="004836AF" w:rsidRDefault="00117609" w:rsidP="005221AF">
      <w:pPr>
        <w:spacing w:line="360" w:lineRule="auto"/>
        <w:ind w:right="1"/>
        <w:jc w:val="both"/>
      </w:pPr>
      <w:r w:rsidRPr="004836AF">
        <w:t xml:space="preserve">El uso de los injertos óseos de miembros no idénticos de la misma especie en el AVR con ROG revela resultados comparables a los autoinjertos. Si bien los ensayos presentados son de alto y mediano grado de evidencia científica EL </w:t>
      </w:r>
      <w:r w:rsidRPr="004836AF">
        <w:rPr>
          <w:b/>
          <w:i/>
        </w:rPr>
        <w:t>N</w:t>
      </w:r>
      <w:r w:rsidRPr="004836AF">
        <w:t xml:space="preserve"> </w:t>
      </w:r>
      <w:r w:rsidR="00B13162">
        <w:t xml:space="preserve"> de</w:t>
      </w:r>
      <w:r w:rsidRPr="004836AF">
        <w:t xml:space="preserve"> las muestras utilizadas son bajos. Por otro lado, la aplicación  de la técnica en nuestro país no sería posible en el momento ya que los aloinjertos no se </w:t>
      </w:r>
      <w:r w:rsidR="00A56A8E" w:rsidRPr="004836AF">
        <w:t>encuentran</w:t>
      </w:r>
      <w:r w:rsidRPr="004836AF">
        <w:t xml:space="preserve"> disponibles en nuestro mercado. </w:t>
      </w:r>
    </w:p>
    <w:p w14:paraId="16C8A20E" w14:textId="78B29E54" w:rsidR="005E334C" w:rsidRPr="004836AF" w:rsidRDefault="00117609" w:rsidP="005221AF">
      <w:pPr>
        <w:spacing w:line="360" w:lineRule="auto"/>
        <w:ind w:right="1"/>
        <w:jc w:val="both"/>
      </w:pPr>
      <w:r w:rsidRPr="004836AF">
        <w:t xml:space="preserve">De los estudios consultados para este trabajo, solamente uno utiliza solamente un xenoinjerto de MHBD como único material de relleno junto con un sistema de fibrina y fibronectina como aglutinante al momento de la colocación del </w:t>
      </w:r>
      <w:r w:rsidR="00A56A8E" w:rsidRPr="004836AF">
        <w:t>implante</w:t>
      </w:r>
      <w:r w:rsidRPr="004836AF">
        <w:t xml:space="preserve">. Siendo </w:t>
      </w:r>
      <w:r w:rsidRPr="004836AF">
        <w:lastRenderedPageBreak/>
        <w:t>éste un estudio de serie de casos encontramos bajo grado de evidencia científica</w:t>
      </w:r>
      <w:r w:rsidR="00B13162">
        <w:t xml:space="preserve"> </w:t>
      </w:r>
      <w:r w:rsidR="00B13162">
        <w:fldChar w:fldCharType="begin" w:fldLock="1"/>
      </w:r>
      <w:r w:rsidR="00B13162">
        <w:instrText>ADDIN CSL_CITATION {"citationItems":[{"id":"ITEM-1","itemData":{"DOI":"10.11607/prd.1460","ISSN":"01987569","abstract":"The purpose of this case series was to report the clinical outcomes and histologic findings of vertical ridge augmentation using a combination of titanium mesh, resorbable collagen membrane, and recombinant human platelet-derived growth factor BB (rhPDGF-BB). Nineteen patients were included, and autogenous bone and anorganic bovine bone particles were used. The bone graft was mixed with rhPDGF-BB and loaded onto the bony defect up to the level of the adjacent alveolar crest. A pre-adapted titanium mesh was placed over the grafted region and covered with a resorbable collagen membrane, leaving no areas of the grafted region exposed. Seventeen patients exhibited good soft tissue healing. Postoperative flap dehiscence occurred relatively early in the healing period in one patient, whereas the covering collagen membrane was exposed during the later phase of the healing period in another. During reentry surgery for removal of the titanium mesh, three patients with favorable soft and hard tissue healing underwent bone biopsies for histologic evaluation of the augmented tissue just below the titanium mesh. The mean vertical height of augmented bone was 8.6 ± 4.0 mm. This report demonstrates the remarkable efficacy of guided bone regeneration using a combination of titanium mesh, resorbable collagen membrane, and rhPDGF for vertical ridge augmentation, thus expanding the indications for implant therapy and allowing recovery of the three-dimensional esthetic architecture in a severely absorbed alveolar ridge.","author":[{"dropping-particle":"","family":"Funato","given":"Akiyoshi","non-dropping-particle":"","parse-names":false,"suffix":""},{"dropping-particle":"","family":"Ishikawa","given":"Tomohiro","non-dropping-particle":"","parse-names":false,"suffix":""},{"dropping-particle":"","family":"Kitajima","given":"Hajime","non-dropping-particle":"","parse-names":false,"suffix":""},{"dropping-particle":"","family":"Yamada","given":"Masahiro","non-dropping-particle":"","parse-names":false,"suffix":""},{"dropping-particle":"","family":"Moroi","given":"Hidetada","non-dropping-particle":"","parse-names":false,"suffix":""}],"container-title":"The International Journal of Periodontics and Restorative Dentistry","id":"ITEM-1","issue":"4","issued":{"date-parts":[["2013","7"]]},"page":"437-445","publisher":"Quintessence Publishing","title":"A Novel Combined Surgical Approach to Vertical Alveolar Ridge Augmentation with Titanium Mesh, Resorbable Membrane, and rhPDGF-BB: A Retrospective Consecutive Case Series","type":"article-journal","volume":"33"},"uris":["http://www.mendeley.com/documents/?uuid=f7e6da5e-a577-37bd-8ff2-cafda5a2ad6e"]}],"mendeley":{"formattedCitation":"(41)","plainTextFormattedCitation":"(41)","previouslyFormattedCitation":"(41)"},"properties":{"noteIndex":0},"schema":"https://github.com/citation-style-language/schema/raw/master/csl-citation.json"}</w:instrText>
      </w:r>
      <w:r w:rsidR="00B13162">
        <w:fldChar w:fldCharType="separate"/>
      </w:r>
      <w:r w:rsidR="00B13162" w:rsidRPr="00B13162">
        <w:rPr>
          <w:noProof/>
        </w:rPr>
        <w:t>(41)</w:t>
      </w:r>
      <w:r w:rsidR="00B13162">
        <w:fldChar w:fldCharType="end"/>
      </w:r>
      <w:r w:rsidRPr="004836AF">
        <w:t xml:space="preserve">. Sin embargo la combinación de hueso autólogo con xenoinjerto en diferentes proporciones ha sido estudiado por varios autores </w:t>
      </w:r>
      <w:r w:rsidR="00B13162">
        <w:fldChar w:fldCharType="begin" w:fldLock="1"/>
      </w:r>
      <w:r w:rsidR="00B13162">
        <w:instrText>ADDIN CSL_CITATION {"citationItems":[{"id":"ITEM-1","itemData":{"DOI":"10.1034/j.1600-0501.2001.012001035.x","ISSN":"09057161","abstract":"The purpose of the present study was to evaluate retrospectively, after 1 to 5 years of prosthetic loading, 123 implants consecutively inserted at the time of vertical ridge augmentation in 4 clinics. At the time of the implant surgery, 3 different techniques were used: the implants were allowed to protrude 2 to 7 mm from the bone level and a titanium reinforced expanded-polytetrafluoroethylene (e-PTFE) membrane was positioned to protect either the blood clot (Group A, 6 patients), or an allograft (Group B, 11 patients), or an autograft (Group C, 32 patients). The annual implant evaluation was carried out according to a standard protocol utilized for long term studies with endosseous implants inserted in non-regenerated bone. Only 1 implant failed immediately after the second stage surgery and after 1 month it was substituted with a new implant. All the remaining implants appeared clinically stable, no signs of radiolucency were present at the bone-implant interface, therefore, they could be defined successfully osseointegrated. The radiographic analysis showed stable bone crest levels with a mean bone loss of 1.35 mm for the Group A, of 1.87 mm for the Group B and of 1.71 for the Group C during the period of observation. Only 2 implants demonstrated an increased crestal bone loss of 3.5 mm and 4 mm respectively at the first year examination. On the base of these results, we can confirm previous long term studies on regenerated bone and we can conclude that vertically augmented bone with GBR techniques responds to implant placement like native, non-regenerated bone.","author":[{"dropping-particle":"","family":"Simion","given":"Massimo","non-dropping-particle":"","parse-names":false,"suffix":""},{"dropping-particle":"","family":"Jovanovic","given":"Sascha A.","non-dropping-particle":"","parse-names":false,"suffix":""},{"dropping-particle":"","family":"Tinti","given":"Carlo","non-dropping-particle":"","parse-names":false,"suffix":""},{"dropping-particle":"","family":"Benfenati","given":"Stefano Parma","non-dropping-particle":"","parse-names":false,"suffix":""}],"container-title":"Clinical Oral Implants Research","id":"ITEM-1","issue":"1","issued":{"date-parts":[["2001"]]},"number-of-pages":"35-45","title":"Long-term evaluation of osseointegrated implants inserted at the time or after vertical ridge augmentation: A retrospective study on I23 implants with I-5 year follow-up","type":"report","volume":"12"},"uris":["http://www.mendeley.com/documents/?uuid=9346a926-3878-3f58-8b13-e8a60b2f5aea"]}],"mendeley":{"formattedCitation":"(33)","plainTextFormattedCitation":"(33)","previouslyFormattedCitation":"(33)"},"properties":{"noteIndex":0},"schema":"https://github.com/citation-style-language/schema/raw/master/csl-citation.json"}</w:instrText>
      </w:r>
      <w:r w:rsidR="00B13162">
        <w:fldChar w:fldCharType="separate"/>
      </w:r>
      <w:r w:rsidR="00B13162" w:rsidRPr="00B13162">
        <w:rPr>
          <w:noProof/>
        </w:rPr>
        <w:t>(33)</w:t>
      </w:r>
      <w:r w:rsidR="00B13162">
        <w:fldChar w:fldCharType="end"/>
      </w:r>
      <w:r w:rsidR="00B13162">
        <w:fldChar w:fldCharType="begin" w:fldLock="1"/>
      </w:r>
      <w:r w:rsidR="00B13162">
        <w:instrText>ADDIN CSL_CITATION {"citationItems":[{"id":"ITEM-1","itemData":{"DOI":"10.1902/jop.2007.070001","ISSN":"0022-3492","abstract":"Background: Recently, the use of titanium micromesh for alveolar bone augmentation has drawn interest; however, only limited histologic data are available on the quality of the bone regenerated. Therefore, this study compared the use of 100% intraoral autogenous bone to a combination of intraoral autogenous bone (70%) and bovine porous bone mineral (BPBM) (30%) for alveolar ridge augmentation with titanium micromesh histologically and histomorphometrically. Methods: Twelve partially edentulous patients required alveolar bone augmentation before implant insertion because of ridge resorption. The defect sites, six in the maxilla and six in the mandible, were reconstructed with particulate autologous bone (control group, N = 6) or a mixture of autologous bone and BPBM (test group, N = 6) in combination with titanium micromesh. Core biopsies were taken from the defect sites 8 to 9 months after grafting at the time of implant insertion. Results: Newly formed compact bone with a well-organized lamellar pattern was identified in all specimens. In the samples taken from the test group, the BPBM particles were surrounded completely by newly formed bone with no signs of resorption. The mean total bone volume was 62.38% ± 13.02% in the control group and 52.88% ± 11.47% in the test group. The soft tissue volume was 37.61% ± 13.02% and 29.96% ± 12.58%, respectively, and the residual BPBM volume was 17.15% ± 2.72% in the test group. No statistical difference was observed in the histologic parameters evaluated, irrespective of graft type and site (P&gt;0.05). Conclusion: Within the limits of this study, BPBM (30%) in combination with autogenous bone (70%) did not yield a lower percentage of new bone formed compared to autogenous bone alone in ridge augmentation with titanium micromesh.","author":[{"dropping-particle":"","family":"Corinaldesi","given":"Giuseppe","non-dropping-particle":"","parse-names":false,"suffix":""},{"dropping-particle":"","family":"Pieri","given":"Francesco","non-dropping-particle":"","parse-names":false,"suffix":""},{"dropping-particle":"","family":"Marchetti","given":"Claudio","non-dropping-particle":"","parse-names":false,"suffix":""},{"dropping-particle":"","family":"Fini","given":"Milena","non-dropping-particle":"","parse-names":false,"suffix":""},{"dropping-particle":"","family":"Aldini","given":"Nicolò Nicoli","non-dropping-particle":"","parse-names":false,"suffix":""},{"dropping-particle":"","family":"Giardino","given":"Roberto","non-dropping-particle":"","parse-names":false,"suffix":""}],"container-title":"Journal of Periodontology","id":"ITEM-1","issue":"8","issued":{"date-parts":[["2007","8"]]},"page":"1477-1484","publisher":"Wiley","title":"Histologic and Histomorphometric Evaluation of Alveolar Ridge Augmentation Using Bone Grafts and Titanium Micromesh in Humans","type":"article-journal","volume":"78"},"uris":["http://www.mendeley.com/documents/?uuid=5c7a8624-2047-306c-9a38-66f1b7c41411"]}],"mendeley":{"formattedCitation":"(37)","plainTextFormattedCitation":"(37)","previouslyFormattedCitation":"(37)"},"properties":{"noteIndex":0},"schema":"https://github.com/citation-style-language/schema/raw/master/csl-citation.json"}</w:instrText>
      </w:r>
      <w:r w:rsidR="00B13162">
        <w:fldChar w:fldCharType="separate"/>
      </w:r>
      <w:r w:rsidR="00B13162" w:rsidRPr="00B13162">
        <w:rPr>
          <w:noProof/>
        </w:rPr>
        <w:t>(37)</w:t>
      </w:r>
      <w:r w:rsidR="00B13162">
        <w:fldChar w:fldCharType="end"/>
      </w:r>
      <w:r w:rsidR="00B13162">
        <w:fldChar w:fldCharType="begin" w:fldLock="1"/>
      </w:r>
      <w:r w:rsidR="00B13162">
        <w:instrText>ADDIN CSL_CITATION {"citationItems":[{"id":"ITEM-1","itemData":{"DOI":"10.1111/j.1600-0501.2007.01389.x","ISSN":"09057161","abstract":"OBJECTIVE: To evaluate, from a histological and histomorphometrical perspective, the efficacy of a 1 : 1 mixture of deproteinized bovine bone mineral (DBBM) and autogenous bone graft associated with an expanded-polytetrafluoroethylene (e-PTFE) membrane for vertical ridge augmentation in the human. MATERIAL AND METHODS: Seven patients with 10 surgical sites requiring vertical ridge augmentation of partially edentulous lower jaws were included in the study. The vertical augmentation procedure was performed combining a titanium-reinforced e-PTFE Gore-Tex membrane with a composite graft consisting of a 1 : 1 ratio of DBBM (Bio-Oss) and autogenous bone. Twenty-seven Branemark implants have been inserted. Eleven biopsies from the regenerated area were analyzed histologically and histomorphometrically. RESULTS: The healing period was uneventful in nine surgical sites. In one site the membrane showed an exposure after 3 months. At the abutment connection, all implants appeared stable and submerged by a hard regenerated tissue clinically similar to bone. The histological analysis showed new bone formation and ongoing remodelling of the autogenous bone and the DBBM particles. CONCLUSIONS: The findings from the present clinical and histological study support the use of a 1 : 1 combination of DBBM and autogenous bone chips for vertical ridge augmentation by means of guided bone regeneration techniques. The regenerated bone may lead to proper osseointegration of a dental implant inserted at the time of the regenerative procedure or after a healing period of at least 6 months. DBBM undergoes very slow resorption and substitution with new bone. Furthermore, long-term clinical studies are needed to confirm the positive effect of DBBM in enhancing the lasting stability of the vertically augmented bone.","author":[{"dropping-particle":"","family":"Simion","given":"Massimo","non-dropping-particle":"","parse-names":false,"suffix":""},{"dropping-particle":"","family":"Fontana","given":"Filippo","non-dropping-particle":"","parse-names":false,"suffix":""},{"dropping-particle":"","family":"Rasperini","given":"Giulio","non-dropping-particle":"","parse-names":false,"suffix":""},{"dropping-particle":"","family":"Maiorana","given":"Carlo","non-dropping-particle":"","parse-names":false,"suffix":""}],"container-title":"Clinical Oral Implants Research","id":"ITEM-1","issue":"5","issued":{"date-parts":[["2007","10"]]},"page":"620-629","title":"Vertical ridge augmentation by expanded-polytetrafluoroethylene membrane and a combination of intraoral autogenous bone graft and deproteinized anorganic bovine bone (Bio Oss)","type":"article-journal","volume":"18"},"uris":["http://www.mendeley.com/documents/?uuid=57f53f9b-9452-3f2d-8800-2cb3d0a8244f"]}],"mendeley":{"formattedCitation":"(39)","plainTextFormattedCitation":"(39)","previouslyFormattedCitation":"(39)"},"properties":{"noteIndex":0},"schema":"https://github.com/citation-style-language/schema/raw/master/csl-citation.json"}</w:instrText>
      </w:r>
      <w:r w:rsidR="00B13162">
        <w:fldChar w:fldCharType="separate"/>
      </w:r>
      <w:r w:rsidR="00B13162" w:rsidRPr="00B13162">
        <w:rPr>
          <w:noProof/>
        </w:rPr>
        <w:t>(39)</w:t>
      </w:r>
      <w:r w:rsidR="00B13162">
        <w:fldChar w:fldCharType="end"/>
      </w:r>
      <w:r w:rsidR="00B13162">
        <w:fldChar w:fldCharType="begin" w:fldLock="1"/>
      </w:r>
      <w:r w:rsidR="00B13162">
        <w:instrText>ADDIN CSL_CITATION {"citationItems":[{"id":"ITEM-1","itemData":{"DOI":"10.11607/prd.2136","ISSN":"01987569","abstract":"The aim of this study was to retrospectively evaluate 75 implants inserted in vertically augmented bone at the time of or prior to implant placement after 1 to 6 years of prosthetic loading. The study included 21 patients (29 surgical sites). The vertical procedure was performed combining a titanium-reinforced expanded polytetrafluoroethylene membrane with autograft (7 sites), allograft (5 sites), or auto-xenograft (17 sites). Healing was uneventful in 24 surgical sites. Three sites showed premature exposure, and two sites presented an abscess. Two implants were lost, for a cumulative survival rate of 93.6%. Mean bone remodeling at 1, 2, 3, 4, 5, and 6 years was 0.34, 0.72, 1.04, 0.84, 0.56, and 0.61 mm, respectively. The implant success rate was higher with a simultaneous approach (82.5%) compared with a staged approach (66.8%). Implants surrounded by keratinized mucosa revealed a higher success rate (82.1%) than those without it (58.4%).","author":[{"dropping-particle":"","family":"Fontana","given":"Filippo","non-dropping-particle":"","parse-names":false,"suffix":""},{"dropping-particle":"","family":"Grossi","given":"Giovanni","non-dropping-particle":"","parse-names":false,"suffix":""},{"dropping-particle":"","family":"Fimano","given":"Maurizio","non-dropping-particle":"","parse-names":false,"suffix":""},{"dropping-particle":"","family":"Maiorana","given":"Carlo","non-dropping-particle":"","parse-names":false,"suffix":""}],"container-title":"International Journal of Periodontics and Restorative Dentistry","id":"ITEM-1","issue":"1","issued":{"date-parts":[["2015","1"]]},"page":"29-39","publisher":"Quintessence Publishing","title":"Osseointegrated Implants in Vertical Ridge Augmentation with a Nonresorbable Membrane: A Retrospective Study of 75 Implants with 1 to 6 Years of Follow-up","type":"article-journal","volume":"35"},"uris":["http://www.mendeley.com/documents/?uuid=d85003dd-1779-3411-a7fd-44c187773652"]}],"mendeley":{"formattedCitation":"(40)","plainTextFormattedCitation":"(40)","previouslyFormattedCitation":"(40)"},"properties":{"noteIndex":0},"schema":"https://github.com/citation-style-language/schema/raw/master/csl-citation.json"}</w:instrText>
      </w:r>
      <w:r w:rsidR="00B13162">
        <w:fldChar w:fldCharType="separate"/>
      </w:r>
      <w:r w:rsidR="00B13162" w:rsidRPr="00B13162">
        <w:rPr>
          <w:noProof/>
        </w:rPr>
        <w:t>(40)</w:t>
      </w:r>
      <w:r w:rsidR="00B13162">
        <w:fldChar w:fldCharType="end"/>
      </w:r>
      <w:r w:rsidRPr="004836AF">
        <w:t xml:space="preserve"> </w:t>
      </w:r>
      <w:r w:rsidR="00B13162">
        <w:fldChar w:fldCharType="begin" w:fldLock="1"/>
      </w:r>
      <w:r w:rsidR="0098457F">
        <w:instrText>ADDIN CSL_CITATION {"citationItems":[{"id":"ITEM-1","itemData":{"DOI":"10.11607/jomi.3346","ISSN":"19424434","abstract":"Urban et al. avaliam o uso de membranas não absorvíveis reforçadas por titânio (politetrafluoretileno de alta densidade) em combinação com uma mistura de osso bovino inorgânico e osso particulado autógeno, para aumento vertical de cristas auveolares deficientes. Dentro das limitações deste estudo, o tratamento com osso autógeno associado a osso inorgânico bovino e membrana reforçada com titânio pode ser considerado um sucesso. A avaliação histológica mostrou que o osso bovino inorgânico, as partículas de derivado mineral foram conectadas com a densa rede de neoosso formado de diferentes graus de maturação. Entretanto mais estudos clínicos padronizados e controlados são necessários para promover esta membrana investigada, assim como outros substitutos ósseos, se podem suportar a cicatrização, da mesma forma em que foi demonstrado neste estudo.","author":[{"dropping-particle":"","family":"Urban","given":"Istvan A.","non-dropping-particle":"","parse-names":false,"suffix":""},{"dropping-particle":"","family":"Lozada","given":"Jaime L.","non-dropping-particle":"","parse-names":false,"suffix":""},{"dropping-particle":"","family":"Jovanovic","given":"Sascha A.","non-dropping-particle":"","parse-names":false,"suffix":""},{"dropping-particle":"","family":"Nagursky","given":"Heiner","non-dropping-particle":"","parse-names":false,"suffix":""},{"dropping-particle":"","family":"Nagy","given":"Katalin","non-dropping-particle":"","parse-names":false,"suffix":""}],"container-title":"The International journal of oral &amp; maxillofacial implants","id":"ITEM-1","issue":"1","issued":{"date-parts":[["2014"]]},"page":"185-193","title":"Vertical ridge augmentation with titanium-reinforced, dense-PTFE membranes and a combination of particulated autogenous bone and anorganic bovine bone-derived mineral: a prospective case series in 19 patients.","type":"article-journal","volume":"29"},"uris":["http://www.mendeley.com/documents/?uuid=e30fa05d-6e45-3777-a2f6-df1766e2fb93"]}],"mendeley":{"formattedCitation":"(45)","plainTextFormattedCitation":"(45)","previouslyFormattedCitation":"(45)"},"properties":{"noteIndex":0},"schema":"https://github.com/citation-style-language/schema/raw/master/csl-citation.json"}</w:instrText>
      </w:r>
      <w:r w:rsidR="00B13162">
        <w:fldChar w:fldCharType="separate"/>
      </w:r>
      <w:r w:rsidR="00B13162" w:rsidRPr="00B13162">
        <w:rPr>
          <w:noProof/>
        </w:rPr>
        <w:t>(45)</w:t>
      </w:r>
      <w:r w:rsidR="00B13162">
        <w:fldChar w:fldCharType="end"/>
      </w:r>
      <w:r w:rsidRPr="004836AF">
        <w:t>. Coinciden en que los resultados histomorfométricos, ganancia ósea y de tasa de éxito son comparables a la técnica con pa</w:t>
      </w:r>
      <w:r w:rsidR="00FE3F57">
        <w:t>trón de referencia</w:t>
      </w:r>
      <w:r w:rsidRPr="004836AF">
        <w:t xml:space="preserve"> con hueso autólogo particulado solamente. Incluso en el control a largo plazo la reabsorción marginal promedio se mantuvo estable</w:t>
      </w:r>
      <w:r w:rsidR="0098457F">
        <w:t xml:space="preserve"> </w:t>
      </w:r>
      <w:r w:rsidR="0098457F">
        <w:fldChar w:fldCharType="begin" w:fldLock="1"/>
      </w:r>
      <w:r w:rsidR="0098457F">
        <w:instrText>ADDIN CSL_CITATION {"citationItems":[{"id":"ITEM-1","itemData":{"DOI":"10.11607/prd.2136","ISSN":"01987569","abstract":"The aim of this study was to retrospectively evaluate 75 implants inserted in vertically augmented bone at the time of or prior to implant placement after 1 to 6 years of prosthetic loading. The study included 21 patients (29 surgical sites). The vertical procedure was performed combining a titanium-reinforced expanded polytetrafluoroethylene membrane with autograft (7 sites), allograft (5 sites), or auto-xenograft (17 sites). Healing was uneventful in 24 surgical sites. Three sites showed premature exposure, and two sites presented an abscess. Two implants were lost, for a cumulative survival rate of 93.6%. Mean bone remodeling at 1, 2, 3, 4, 5, and 6 years was 0.34, 0.72, 1.04, 0.84, 0.56, and 0.61 mm, respectively. The implant success rate was higher with a simultaneous approach (82.5%) compared with a staged approach (66.8%). Implants surrounded by keratinized mucosa revealed a higher success rate (82.1%) than those without it (58.4%).","author":[{"dropping-particle":"","family":"Fontana","given":"Filippo","non-dropping-particle":"","parse-names":false,"suffix":""},{"dropping-particle":"","family":"Grossi","given":"Giovanni","non-dropping-particle":"","parse-names":false,"suffix":""},{"dropping-particle":"","family":"Fimano","given":"Maurizio","non-dropping-particle":"","parse-names":false,"suffix":""},{"dropping-particle":"","family":"Maiorana","given":"Carlo","non-dropping-particle":"","parse-names":false,"suffix":""}],"container-title":"International Journal of Periodontics and Restorative Dentistry","id":"ITEM-1","issue":"1","issued":{"date-parts":[["2015","1"]]},"page":"29-39","publisher":"Quintessence Publishing","title":"Osseointegrated Implants in Vertical Ridge Augmentation with a Nonresorbable Membrane: A Retrospective Study of 75 Implants with 1 to 6 Years of Follow-up","type":"article-journal","volume":"35"},"uris":["http://www.mendeley.com/documents/?uuid=d85003dd-1779-3411-a7fd-44c187773652"]}],"mendeley":{"formattedCitation":"(40)","plainTextFormattedCitation":"(40)","previouslyFormattedCitation":"(40)"},"properties":{"noteIndex":0},"schema":"https://github.com/citation-style-language/schema/raw/master/csl-citation.json"}</w:instrText>
      </w:r>
      <w:r w:rsidR="0098457F">
        <w:fldChar w:fldCharType="separate"/>
      </w:r>
      <w:r w:rsidR="0098457F" w:rsidRPr="0098457F">
        <w:rPr>
          <w:noProof/>
        </w:rPr>
        <w:t>(40)</w:t>
      </w:r>
      <w:r w:rsidR="0098457F">
        <w:fldChar w:fldCharType="end"/>
      </w:r>
      <w:r w:rsidR="0098457F">
        <w:fldChar w:fldCharType="begin" w:fldLock="1"/>
      </w:r>
      <w:r w:rsidR="0098457F">
        <w:instrText>ADDIN CSL_CITATION {"citationItems":[{"id":"ITEM-1","itemData":{"DOI":"10.11607/jomi.3346","ISSN":"19424434","abstract":"Urban et al. avaliam o uso de membranas não absorvíveis reforçadas por titânio (politetrafluoretileno de alta densidade) em combinação com uma mistura de osso bovino inorgânico e osso particulado autógeno, para aumento vertical de cristas auveolares deficientes. Dentro das limitações deste estudo, o tratamento com osso autógeno associado a osso inorgânico bovino e membrana reforçada com titânio pode ser considerado um sucesso. A avaliação histológica mostrou que o osso bovino inorgânico, as partículas de derivado mineral foram conectadas com a densa rede de neoosso formado de diferentes graus de maturação. Entretanto mais estudos clínicos padronizados e controlados são necessários para promover esta membrana investigada, assim como outros substitutos ósseos, se podem suportar a cicatrização, da mesma forma em que foi demonstrado neste estudo.","author":[{"dropping-particle":"","family":"Urban","given":"Istvan A.","non-dropping-particle":"","parse-names":false,"suffix":""},{"dropping-particle":"","family":"Lozada","given":"Jaime L.","non-dropping-particle":"","parse-names":false,"suffix":""},{"dropping-particle":"","family":"Jovanovic","given":"Sascha A.","non-dropping-particle":"","parse-names":false,"suffix":""},{"dropping-particle":"","family":"Nagursky","given":"Heiner","non-dropping-particle":"","parse-names":false,"suffix":""},{"dropping-particle":"","family":"Nagy","given":"Katalin","non-dropping-particle":"","parse-names":false,"suffix":""}],"container-title":"The International journal of oral &amp; maxillofacial implants","id":"ITEM-1","issue":"1","issued":{"date-parts":[["2014"]]},"page":"185-193","title":"Vertical ridge augmentation with titanium-reinforced, dense-PTFE membranes and a combination of particulated autogenous bone and anorganic bovine bone-derived mineral: a prospective case series in 19 patients.","type":"article-journal","volume":"29"},"uris":["http://www.mendeley.com/documents/?uuid=e30fa05d-6e45-3777-a2f6-df1766e2fb93"]}],"mendeley":{"formattedCitation":"(45)","plainTextFormattedCitation":"(45)","previouslyFormattedCitation":"(45)"},"properties":{"noteIndex":0},"schema":"https://github.com/citation-style-language/schema/raw/master/csl-citation.json"}</w:instrText>
      </w:r>
      <w:r w:rsidR="0098457F">
        <w:fldChar w:fldCharType="separate"/>
      </w:r>
      <w:r w:rsidR="0098457F" w:rsidRPr="0098457F">
        <w:rPr>
          <w:noProof/>
        </w:rPr>
        <w:t>(45)</w:t>
      </w:r>
      <w:r w:rsidR="0098457F">
        <w:fldChar w:fldCharType="end"/>
      </w:r>
      <w:r w:rsidRPr="004836AF">
        <w:t xml:space="preserve">. </w:t>
      </w:r>
    </w:p>
    <w:p w14:paraId="29FDBBB1" w14:textId="2C3783B1" w:rsidR="005E334C" w:rsidRPr="004836AF" w:rsidRDefault="00117609" w:rsidP="005221AF">
      <w:pPr>
        <w:spacing w:line="360" w:lineRule="auto"/>
        <w:ind w:right="1"/>
        <w:jc w:val="both"/>
      </w:pPr>
      <w:r w:rsidRPr="004836AF">
        <w:t xml:space="preserve">La selección del material de injerto ideal no esta resuelta en la literatura. </w:t>
      </w:r>
      <w:r w:rsidR="00A56A8E" w:rsidRPr="004836AF">
        <w:t>Si bien el autoinjerto es la técnica de referencia, por sus propiedades os</w:t>
      </w:r>
      <w:r w:rsidR="00A56A8E">
        <w:t>t</w:t>
      </w:r>
      <w:r w:rsidR="00A56A8E" w:rsidRPr="004836AF">
        <w:t>eogénicas, os</w:t>
      </w:r>
      <w:r w:rsidR="00A56A8E">
        <w:t>t</w:t>
      </w:r>
      <w:r w:rsidR="00A56A8E" w:rsidRPr="004836AF">
        <w:t>eoinductoras y os</w:t>
      </w:r>
      <w:r w:rsidR="00A56A8E">
        <w:t>t</w:t>
      </w:r>
      <w:r w:rsidR="00A56A8E" w:rsidRPr="004836AF">
        <w:t xml:space="preserve">eoconductoras, elementos como costos en caso de la toma extra oral y morbilidad del paciente deben ser evaluados. </w:t>
      </w:r>
      <w:r w:rsidRPr="004836AF">
        <w:t>No hay al día de hoy suficientes ECCA que puedan identificar una técnica mejor que otra en cuanto al material de relleno. Otro tópico a evaluar en futuros ECCA  en el AVR con ROG debe ser el tiempo de consolidación del injerto. Teniendo en cuenta que  casos complejos son extensos en el tiempo, para la selección del material puede ser un elemento más a considerar.</w:t>
      </w:r>
    </w:p>
    <w:p w14:paraId="06164F85" w14:textId="391592FC" w:rsidR="005E334C" w:rsidRPr="004836AF" w:rsidRDefault="00117609" w:rsidP="005221AF">
      <w:pPr>
        <w:spacing w:line="360" w:lineRule="auto"/>
        <w:ind w:right="1"/>
        <w:jc w:val="both"/>
      </w:pPr>
      <w:r w:rsidRPr="004836AF">
        <w:t xml:space="preserve">De acuerdo a la evidencia presentada parecería adecuada la utilización de xenoinjerto mezclado con autólogo, de esta manera evitaríamos sitio dadores </w:t>
      </w:r>
      <w:r w:rsidR="00A56A8E" w:rsidRPr="004836AF">
        <w:t>extra orales</w:t>
      </w:r>
      <w:r w:rsidRPr="004836AF">
        <w:t xml:space="preserve">, y estaríamos aprovechando las propiedades estructurales de uno, y las biológicos del otro. </w:t>
      </w:r>
    </w:p>
    <w:p w14:paraId="20F5491B" w14:textId="7B525456" w:rsidR="005E334C" w:rsidRPr="004836AF" w:rsidRDefault="00117609" w:rsidP="005221AF">
      <w:pPr>
        <w:spacing w:line="360" w:lineRule="auto"/>
        <w:ind w:right="1"/>
        <w:jc w:val="both"/>
      </w:pPr>
      <w:r w:rsidRPr="004836AF">
        <w:t xml:space="preserve">La selección  de la barrera más apropiada en el AVR con ROG es un tema que se plantea en numerosos artículos. La literatura confluye en dos materiales principalmente. Por un </w:t>
      </w:r>
      <w:r w:rsidR="00A56A8E" w:rsidRPr="004836AF">
        <w:t>lado, las</w:t>
      </w:r>
      <w:r w:rsidRPr="004836AF">
        <w:t xml:space="preserve"> membranas de PTFE-e y su evolución el PTFE-d reforzadas con estructura de titanio y por otro lado las mallas de titanio o placas de osteosíntesis que  le dan soporte a membranas barrera de colágeno. </w:t>
      </w:r>
    </w:p>
    <w:p w14:paraId="7D025597" w14:textId="0C61FEBB" w:rsidR="005E334C" w:rsidRPr="004836AF" w:rsidRDefault="00117609" w:rsidP="005221AF">
      <w:pPr>
        <w:spacing w:line="360" w:lineRule="auto"/>
        <w:ind w:right="1"/>
        <w:jc w:val="both"/>
      </w:pPr>
      <w:r w:rsidRPr="004836AF">
        <w:t>Las de PTFE-e y PTFE-d  en su uso para el AVR tienen desempeño comparable, sin diferencias estadísticamente significativas en cuanto a ganancia ósea, resultados histomorfometricos o complicaciones como la exposición de la misma. Siendo más fácil su retiro en la cirugía de reentrada por el menor tamaño de los poros y su falta de integración a los tejidos</w:t>
      </w:r>
      <w:r w:rsidR="0098457F">
        <w:t xml:space="preserve"> </w:t>
      </w:r>
      <w:r w:rsidR="0098457F">
        <w:fldChar w:fldCharType="begin" w:fldLock="1"/>
      </w:r>
      <w:r w:rsidR="0098457F">
        <w:instrText>ADDIN CSL_CITATION {"citationItems":[{"id":"ITEM-1","itemData":{"DOI":"10.1111/clr.12157","ISSN":"16000501","abstract":"OBJECTIVE This prospective randomized controlled trial was designed to test the performance of titanium-reinforced dense polytetrafluoroethylene (d-PTFE) membrane vs. titanium-reinforced expanded polytetrafluoroethylene (e-PTFE) membrane in achieving vertical bone regeneration, both associated with a composite grafting material. MATERIAL AND METHODS The study enrolled 23 patients requiring bone augmentation with guided bone regeneration (GBR) procedures for placing implants in atrophic posterior mandibles (available bone height &lt;7 mm). Implants were inserted and left to protrude from the bone level to achieve the programmed amount of vertical regeneration. Defects were filled with a composite bone graft (50% autologous bone and 50% mineralized bone allograft) and randomly covered with either an e-PTFE membrane (control) or a d-PTFE membrane (test). Membrane removal was performed after 6 months, and changes in bone height were recorded. RESULTS Seventy-eight implants were inserted in 26 mandibular sites contextually to vertical ridge augmentation procedures. The healing period was uneventful in all sites, and the vertical defects were satisfactorily filled with a newly formed hard tissue. Mean defect fill after 6 months was 5.49 mm (SD ± 1.58) at test sites and 4.91 mm (SD ± 1.78) at control sites. The normalized data (percentage changes against baseline) did not show any statistically significant difference between test and control groups (P = NS). CONCLUSIONS Based on the data from this study, both d-PTFE and e-PTFE membranes showed identical clinical results in the treatment of vertical bone defects around implants, using the GBR technique. The membrane removal procedure was easier to perform in the d-PTFE group than in the e-PTFE group.","author":[{"dropping-particle":"","family":"Ronda","given":"Marco","non-dropping-particle":"","parse-names":false,"suffix":""},{"dropping-particle":"","family":"Rebaudi","given":"Alberto","non-dropping-particle":"","parse-names":false,"suffix":""},{"dropping-particle":"","family":"Torelli","given":"Lucio","non-dropping-particle":"","parse-names":false,"suffix":""},{"dropping-particle":"","family":"Stacchi","given":"Claudio","non-dropping-particle":"","parse-names":false,"suffix":""}],"container-title":"Clinical Oral Implants Research","id":"ITEM-1","issue":"7","issued":{"date-parts":[["2014"]]},"page":"859-866","title":"Expanded vs. dense polytetrafluoroethylene membranes in vertical ridge augmentation around dental implants: A prospective randomized controlled clinical trial","type":"article-journal","volume":"25"},"uris":["http://www.mendeley.com/documents/?uuid=ad7492fd-9b4c-4933-9777-799efda38cd1"]}],"mendeley":{"formattedCitation":"(44)","plainTextFormattedCitation":"(44)","previouslyFormattedCitation":"(44)"},"properties":{"noteIndex":0},"schema":"https://github.com/citation-style-language/schema/raw/master/csl-citation.json"}</w:instrText>
      </w:r>
      <w:r w:rsidR="0098457F">
        <w:fldChar w:fldCharType="separate"/>
      </w:r>
      <w:r w:rsidR="0098457F" w:rsidRPr="0098457F">
        <w:rPr>
          <w:noProof/>
        </w:rPr>
        <w:t>(44)</w:t>
      </w:r>
      <w:r w:rsidR="0098457F">
        <w:fldChar w:fldCharType="end"/>
      </w:r>
      <w:r w:rsidRPr="004836AF">
        <w:t>. En caso de exposición de la membrana de PTFE-e la presencia de poros de entre 5 y 20 micras favorece la acumulación bacteriana y la penetración de bacterias del exterior ocurriría dentro de las 4 semanas. Sin embargo al presentar un diámetro  de poro menor al tamaño bacteriano (0,3 micras) las membranas de PTFE-d presentan ventajas ya que  pueden quedar expuestas en primera instancia sin presentar signos de infección</w:t>
      </w:r>
      <w:r w:rsidR="0098457F">
        <w:t xml:space="preserve"> </w:t>
      </w:r>
      <w:r w:rsidR="0098457F">
        <w:fldChar w:fldCharType="begin" w:fldLock="1"/>
      </w:r>
      <w:r w:rsidR="0098457F">
        <w:instrText>ADDIN CSL_CITATION {"citationItems":[{"id":"ITEM-1","itemData":{"DOI":"10.1097/ID.0b013e3181cda72c","ISSN":"10566163","abstract":"The biologic principle of guided bone regeneration has been successfully used to prevent bone loss in extraction sites. This study comprises 420 cases of alveolar ridge maintenance in preparation for dental implant placements. Nonexpanded polytetrafluoroethylene membranes were positioned over all extraction sites and left intentionally exposed. Lyophilized mineralized bone allografts were used to prevent membrane collapse when buccal bone walls were lost. Membranes were removed at week 4. At the time of implant placements, all sites presented soft tissue compatibility with keratinized gingiva. The mucogingival junction position seemed to be preserved. Exposed nonexpanded polytetrafluoroethylene membranes associated, or not, with bone graft provide tissue formation suitable for implant placement.","author":[{"dropping-particle":"","family":"Barboza","given":"Eliane Porto","non-dropping-particle":"","parse-names":false,"suffix":""},{"dropping-particle":"","family":"Stutz","given":"Bianca","non-dropping-particle":"","parse-names":false,"suffix":""},{"dropping-particle":"","family":"Ferreira","given":"Vinícius Farias","non-dropping-particle":"","parse-names":false,"suffix":""},{"dropping-particle":"","family":"Carvalho","given":"Waldimir","non-dropping-particle":"","parse-names":false,"suffix":""}],"container-title":"Implant Dentistry","id":"ITEM-1","issue":"1","issued":{"date-parts":[["2010"]]},"page":"2-7","title":"Guided bone regeneration using nonexpanded polytetrafluoroethylene membranes in preparation for dental implant placements-A report of 420 cases","type":"article-journal","volume":"19"},"uris":["http://www.mendeley.com/documents/?uuid=2544faf3-f292-49a9-9af5-652dde446424"]}],"mendeley":{"formattedCitation":"(53)","plainTextFormattedCitation":"(53)","previouslyFormattedCitation":"(53)"},"properties":{"noteIndex":0},"schema":"https://github.com/citation-style-language/schema/raw/master/csl-citation.json"}</w:instrText>
      </w:r>
      <w:r w:rsidR="0098457F">
        <w:fldChar w:fldCharType="separate"/>
      </w:r>
      <w:r w:rsidR="0098457F" w:rsidRPr="0098457F">
        <w:rPr>
          <w:noProof/>
        </w:rPr>
        <w:t>(53)</w:t>
      </w:r>
      <w:r w:rsidR="0098457F">
        <w:fldChar w:fldCharType="end"/>
      </w:r>
      <w:r w:rsidRPr="004836AF">
        <w:t>. Por estas potenciales ventajas frente a la selección de una membrana de PTFE nos inclinaríamos por la de alta densidad.</w:t>
      </w:r>
    </w:p>
    <w:p w14:paraId="5D9A7851" w14:textId="179932C4" w:rsidR="005E334C" w:rsidRPr="004836AF" w:rsidRDefault="00117609" w:rsidP="005221AF">
      <w:pPr>
        <w:spacing w:line="360" w:lineRule="auto"/>
        <w:ind w:right="1"/>
        <w:jc w:val="both"/>
      </w:pPr>
      <w:r w:rsidRPr="004836AF">
        <w:lastRenderedPageBreak/>
        <w:t>Los resultados en el AVR con ROG comparativos entre las membranas de PTFE tanto expandido como de alta densidad frente a la utilización de mallas de titanio no han arrojado diferencias significativas en cuanto a los resultados histomorfométricos,  ganancia ósea vertical o complicaciones durante el período de consolidación del injerto</w:t>
      </w:r>
      <w:r w:rsidR="0098457F">
        <w:t xml:space="preserve"> </w:t>
      </w:r>
      <w:r w:rsidR="0098457F">
        <w:fldChar w:fldCharType="begin" w:fldLock="1"/>
      </w:r>
      <w:r w:rsidR="0098457F">
        <w:instrText>ADDIN CSL_CITATION {"citationItems":[{"id":"ITEM-1","itemData":{"DOI":"10.1111/cid.12814","ISSN":"17088208","author":[{"dropping-particle":"","family":"Cucchi","given":"Alessandro","non-dropping-particle":"","parse-names":false,"suffix":""},{"dropping-particle":"","family":"Sartori","given":"Maria","non-dropping-particle":"","parse-names":false,"suffix":""},{"dropping-particle":"","family":"Parrilli","given":"Annapaola","non-dropping-particle":"","parse-names":false,"suffix":""},{"dropping-particle":"","family":"Aldini","given":"Nicolò N.","non-dropping-particle":"","parse-names":false,"suffix":""},{"dropping-particle":"","family":"Vignudelli","given":"Elisabetta","non-dropping-particle":"","parse-names":false,"suffix":""},{"dropping-particle":"","family":"Corinaldesi","given":"Giuseppe","non-dropping-particle":"","parse-names":false,"suffix":""}],"container-title":"Clinical Implant Dentistry and Related Research","id":"ITEM-1","issue":"January","issued":{"date-parts":[["2019"]]},"page":"1-9","title":"Histological and histomorphometric analysis of bone tissue after guided bone regeneration with non-resorbable membranes vs resorbable membranes and titanium mesh","type":"article-journal"},"uris":["http://www.mendeley.com/documents/?uuid=900814d7-0f4e-4cd6-a3e5-48dcd2955fac"]}],"mendeley":{"formattedCitation":"(47)","plainTextFormattedCitation":"(47)","previouslyFormattedCitation":"(47)"},"properties":{"noteIndex":0},"schema":"https://github.com/citation-style-language/schema/raw/master/csl-citation.json"}</w:instrText>
      </w:r>
      <w:r w:rsidR="0098457F">
        <w:fldChar w:fldCharType="separate"/>
      </w:r>
      <w:r w:rsidR="0098457F" w:rsidRPr="0098457F">
        <w:rPr>
          <w:noProof/>
        </w:rPr>
        <w:t>(47)</w:t>
      </w:r>
      <w:r w:rsidR="0098457F">
        <w:fldChar w:fldCharType="end"/>
      </w:r>
      <w:r w:rsidR="0098457F">
        <w:fldChar w:fldCharType="begin" w:fldLock="1"/>
      </w:r>
      <w:r w:rsidR="0098457F">
        <w:instrText>ADDIN CSL_CITATION {"citationItems":[{"id":"ITEM-1","itemData":{"DOI":"10.11607/jomi.3203","ISSN":"08822786","abstract":"Purpose: To compare the efficacy of two different techniques for vertical bone regeneration at implant placement with particulate autogenous bone at 6 years after loading by means of a double-blind, superiority, parallel-group randomized clinical trial. Materials and Methods: The study was conducted in a private center in Italy between April 2004 and December 2011. Patients in whom vertical bone augmentation was indicated in combination with the placement of single or multiple implants were eligible for inclusion in this trial. Patients were randomized to receive either resorbable collagen barriers supported by an osteosynthesis plate (test group) or nonresorbable titanium-reinforced expanded polytetrafluoroethylene barriers (control group). The outcome variables—radiographic bone variation at implant sites, implant failures, and complications— were evaluated 6 years after loading. Randomization was done by computer, with allocation concealed by opaque sequentially numbered sealed envelopes. The patients and the radiographic examiner were blinded to group assignment. Results: Twenty-two patients were randomized: 11 to the resorbable barrier group and 11 to the nonresorbable (control) group. One control group patient dropped out. The mean bone level 6 years after surgery was 1.33 mm for the resorbable group and 1.00 mm for the nonresorbable group. The adjusted difference in bone changes between groups was 0.15 mm (95% confidence interval, –0.39 to 0.69, P = .5713). No implant failures or complications occurred after loading. Conclusion: No differences were observed in this comparison of resorbable and nonresorbable barriers with simultaneous implant placement for vertical ridge augmentation [ABSTRACT FROM AUTHOR]","author":[{"dropping-particle":"","family":"Merli","given":"Mauro","non-dropping-particle":"","parse-names":false,"suffix":""},{"dropping-particle":"","family":"Moscatelli","given":"Marco","non-dropping-particle":"","parse-names":false,"suffix":""},{"dropping-particle":"","family":"Mariotti","given":"Giorgia","non-dropping-particle":"","parse-names":false,"suffix":""},{"dropping-particle":"","family":"Rotundo","given":"Roberto","non-dropping-particle":"","parse-names":false,"suffix":""},{"dropping-particle":"","family":"Bernardelli","given":"Francesco","non-dropping-particle":"","parse-names":false,"suffix":""},{"dropping-particle":"","family":"Nieri","given":"Michele","non-dropping-particle":"","parse-names":false,"suffix":""}],"container-title":"The International Journal of Oral &amp; Maxillofacial Implants","id":"ITEM-1","issue":"4","issued":{"date-parts":[["2014"]]},"page":"905-913","title":"Bone Level Variation After Vertical Ridge Augmentation: Resorbable Barriers Versus Titanium-Reinforced Barriers. A 6-Year Double-Blind Randomized Clinical Trial","type":"article-journal","volume":"29"},"uris":["http://www.mendeley.com/documents/?uuid=4d66438a-9dbe-4833-88e7-1d1337b04985"]}],"mendeley":{"formattedCitation":"(42)","plainTextFormattedCitation":"(42)","previouslyFormattedCitation":"(42)"},"properties":{"noteIndex":0},"schema":"https://github.com/citation-style-language/schema/raw/master/csl-citation.json"}</w:instrText>
      </w:r>
      <w:r w:rsidR="0098457F">
        <w:fldChar w:fldCharType="separate"/>
      </w:r>
      <w:r w:rsidR="0098457F" w:rsidRPr="0098457F">
        <w:rPr>
          <w:noProof/>
        </w:rPr>
        <w:t>(42)</w:t>
      </w:r>
      <w:r w:rsidR="0098457F">
        <w:fldChar w:fldCharType="end"/>
      </w:r>
      <w:r w:rsidR="0098457F">
        <w:fldChar w:fldCharType="begin" w:fldLock="1"/>
      </w:r>
      <w:r w:rsidR="0098457F">
        <w:instrText>ADDIN CSL_CITATION {"citationItems":[{"id":"ITEM-1","itemData":{"DOI":"10.1111/cid.12520","ISSN":"17088208","abstract":"© 2017 Wiley Periodicals, Inc. Background: The partial edentulous posterior mandible is often a challenge area that requires a bone reconstructive surgery for implants placement. Purpose: This RCT was aimed to evaluate complications rate and vertical bone gain after Guided Bone Regeneration (GBR) with dense non-resorbable d-PTFE titanium-reinforced membranes (Group A) versus titanium meshes covered by cross-linked collagen membranes (Group B). Material and Methods: 40 partially edentulous patients with atrophic posterior mandible, were randomly divided into two study group: 20 patients were treated with one stage GBR by means of non-resorbable d-PTFE titanium-reinforced membranes (Group A); and 20 patients, by means of titanium mesh covered by cross-linked collagen membranes (Group B). All complications were recorded, distinguishing between \"surgical\" and \"healing\" and between \"minor\" or \"major.\". Primary implants stability and vertical bone gain were also evaluated. Results: In the group A, surgical and healing complication rates were 5.0% and 15.0%, respectively. In the group B, surgical and healing complication rates were 15.8% and 21.1%, respectively. No significant differences between two study group were observed regarding complications rate implant stability and vertical bone gain. Conclusions: Both GBR approaches for the restoration of atrophic posterior mandible achieved similar results regarding complications, vertical bone gain and implant stability.","author":[{"dropping-particle":"","family":"Cucchi","given":"Alessandro","non-dropping-particle":"","parse-names":false,"suffix":""},{"dropping-particle":"","family":"Vignudelli","given":"Elisabetta","non-dropping-particle":"","parse-names":false,"suffix":""},{"dropping-particle":"","family":"Napolitano","given":"Aldo","non-dropping-particle":"","parse-names":false,"suffix":""},{"dropping-particle":"","family":"Marchetti","given":"Claudio","non-dropping-particle":"","parse-names":false,"suffix":""},{"dropping-particle":"","family":"Corinaldesi","given":"Giuseppe","non-dropping-particle":"","parse-names":false,"suffix":""}],"container-title":"Clinical Implant Dentistry and Related Research","id":"ITEM-1","issue":"5","issued":{"date-parts":[["2017","10","1"]]},"page":"821-832","publisher":"Blackwell Publishing Ltd","title":"Evaluation of complication rates and vertical bone gain after guided bone regeneration with non-resorbable membranes versus titanium meshes and resorbable membranes. A randomized clinical trial","type":"article-journal","volume":"19"},"uris":["http://www.mendeley.com/documents/?uuid=0aaa6e89-ae41-3822-abd2-47961c0f3253"]}],"mendeley":{"formattedCitation":"(46)","plainTextFormattedCitation":"(46)","previouslyFormattedCitation":"(46)"},"properties":{"noteIndex":0},"schema":"https://github.com/citation-style-language/schema/raw/master/csl-citation.json"}</w:instrText>
      </w:r>
      <w:r w:rsidR="0098457F">
        <w:fldChar w:fldCharType="separate"/>
      </w:r>
      <w:r w:rsidR="0098457F" w:rsidRPr="0098457F">
        <w:rPr>
          <w:noProof/>
        </w:rPr>
        <w:t>(46)</w:t>
      </w:r>
      <w:r w:rsidR="0098457F">
        <w:fldChar w:fldCharType="end"/>
      </w:r>
      <w:r w:rsidRPr="004836AF">
        <w:t>.</w:t>
      </w:r>
      <w:r w:rsidR="0098457F">
        <w:t xml:space="preserve"> </w:t>
      </w:r>
      <w:r w:rsidRPr="004836AF">
        <w:t xml:space="preserve"> </w:t>
      </w:r>
    </w:p>
    <w:p w14:paraId="0A069C03" w14:textId="11DC9DCE" w:rsidR="005E334C" w:rsidRPr="004836AF" w:rsidRDefault="00117609" w:rsidP="005221AF">
      <w:pPr>
        <w:spacing w:line="360" w:lineRule="auto"/>
        <w:ind w:right="1"/>
        <w:jc w:val="both"/>
      </w:pPr>
      <w:r w:rsidRPr="004836AF">
        <w:t xml:space="preserve"> Tanto membranas de PTFE-d como mallas de titanio cubiertas por membranas pueden ser utilizadas para el AVR con ROG. En un relevamiento del mercado en las casas dentales especializadas en Uruguay no se encuentran disponibles las membranas de PTFE-d con estructura de titanio. Si </w:t>
      </w:r>
      <w:r w:rsidR="00A56A8E" w:rsidRPr="004836AF">
        <w:t>están</w:t>
      </w:r>
      <w:r w:rsidRPr="004836AF">
        <w:t xml:space="preserve"> a disposición las mallas de titanio de diversas marcas comerciales y membranas de colágeno reticulado y no reticulado. </w:t>
      </w:r>
    </w:p>
    <w:p w14:paraId="3A9BD7BC" w14:textId="69E239C2" w:rsidR="005E334C" w:rsidRPr="004836AF" w:rsidRDefault="00117609" w:rsidP="005221AF">
      <w:pPr>
        <w:spacing w:line="360" w:lineRule="auto"/>
        <w:ind w:right="1"/>
        <w:jc w:val="both"/>
      </w:pPr>
      <w:r w:rsidRPr="004836AF">
        <w:t>En la revisión de la literatura no se encontraron estudios que compararan la colocación del implante simultánea a la regeneración</w:t>
      </w:r>
      <w:r w:rsidR="0098457F">
        <w:t xml:space="preserve"> </w:t>
      </w:r>
      <w:r w:rsidR="0098457F">
        <w:fldChar w:fldCharType="begin" w:fldLock="1"/>
      </w:r>
      <w:r w:rsidR="0098457F">
        <w:instrText>ADDIN CSL_CITATION {"citationItems":[{"id":"ITEM-1","itemData":{"DOI":"10.11607/prd.1208","ISSN":"01987569","abstract":"This study evaluated the treatment of alveolar bone deficiencies combined with dental implant placement. Thirty-five endosseous implants were inserted into 20 patients. After implant placement, the mean height of the supracrestal bone defects measured 4.25 ± 1.34 mm. Bone regeneration procedures were performed using a combination of a bovine bone-derived mineral stabilized with a fibrin-fibronectin sealing system and covered with a bilayered porcine collagen membrane. Healing was uneventful in all instances with maintenance of primary closure throughout the healing period. Stage-two surgery was performed after 6 months, and a hard bonelike tissue was detectable at the defect sites. Histologic examination confirmed the presence of newly formed bone with residual particles of xenograft. The mean bone gain was 3.95 ± 1.47 mm. The positive outcomes in terms of bone regeneration and low complication rate demonstrated the potential of this technique for the treatment of supracrestal ridge deficiencies. Bovine bone mineral combined with a fibrin sealer and protected by a collagen membrane should be considered as an alternative in the treatment of vertical peri-implant bone defects.","author":[{"dropping-particle":"","family":"Cardaropoli","given":"Daniele","non-dropping-particle":"","parse-names":false,"suffix":""},{"dropping-particle":"","family":"Gaveglio","given":"Lorena","non-dropping-particle":"","parse-names":false,"suffix":""},{"dropping-particle":"","family":"Cardaropoli","given":"Giuseppe","non-dropping-particle":"","parse-names":false,"suffix":""}],"container-title":"International Journal of Periodontics and Restorative Dentistry","id":"ITEM-1","issue":"5","issued":{"date-parts":[["2013","9"]]},"page":"583-589","publisher":"Quintessence Publishing","title":"Vertical Ridge Augmentation with a Collagen Membrane, Bovine Bone Mineral and Fibrin Sealer: Clinical and Histologic Findings","type":"article-journal","volume":"33"},"uris":["http://www.mendeley.com/documents/?uuid=94a70c23-9de6-368e-b311-914a460b5406"]}],"mendeley":{"formattedCitation":"(48)","plainTextFormattedCitation":"(48)","previouslyFormattedCitation":"(48)"},"properties":{"noteIndex":0},"schema":"https://github.com/citation-style-language/schema/raw/master/csl-citation.json"}</w:instrText>
      </w:r>
      <w:r w:rsidR="0098457F">
        <w:fldChar w:fldCharType="separate"/>
      </w:r>
      <w:r w:rsidR="0098457F" w:rsidRPr="0098457F">
        <w:rPr>
          <w:noProof/>
        </w:rPr>
        <w:t>(48)</w:t>
      </w:r>
      <w:r w:rsidR="0098457F">
        <w:fldChar w:fldCharType="end"/>
      </w:r>
      <w:r w:rsidR="0098457F">
        <w:fldChar w:fldCharType="begin" w:fldLock="1"/>
      </w:r>
      <w:r w:rsidR="0098457F">
        <w:instrText>ADDIN CSL_CITATION {"citationItems":[{"id":"ITEM-1","itemData":{"DOI":"10.11607/prd.2136","ISSN":"01987569","abstract":"The aim of this study was to retrospectively evaluate 75 implants inserted in vertically augmented bone at the time of or prior to implant placement after 1 to 6 years of prosthetic loading. The study included 21 patients (29 surgical sites). The vertical procedure was performed combining a titanium-reinforced expanded polytetrafluoroethylene membrane with autograft (7 sites), allograft (5 sites), or auto-xenograft (17 sites). Healing was uneventful in 24 surgical sites. Three sites showed premature exposure, and two sites presented an abscess. Two implants were lost, for a cumulative survival rate of 93.6%. Mean bone remodeling at 1, 2, 3, 4, 5, and 6 years was 0.34, 0.72, 1.04, 0.84, 0.56, and 0.61 mm, respectively. The implant success rate was higher with a simultaneous approach (82.5%) compared with a staged approach (66.8%). Implants surrounded by keratinized mucosa revealed a higher success rate (82.1%) than those without it (58.4%).","author":[{"dropping-particle":"","family":"Fontana","given":"Filippo","non-dropping-particle":"","parse-names":false,"suffix":""},{"dropping-particle":"","family":"Grossi","given":"Giovanni","non-dropping-particle":"","parse-names":false,"suffix":""},{"dropping-particle":"","family":"Fimano","given":"Maurizio","non-dropping-particle":"","parse-names":false,"suffix":""},{"dropping-particle":"","family":"Maiorana","given":"Carlo","non-dropping-particle":"","parse-names":false,"suffix":""}],"container-title":"International Journal of Periodontics and Restorative Dentistry","id":"ITEM-1","issue":"1","issued":{"date-parts":[["2015","1"]]},"page":"29-39","publisher":"Quintessence Publishing","title":"Osseointegrated Implants in Vertical Ridge Augmentation with a Nonresorbable Membrane: A Retrospective Study of 75 Implants with 1 to 6 Years of Follow-up","type":"article-journal","volume":"35"},"uris":["http://www.mendeley.com/documents/?uuid=d85003dd-1779-3411-a7fd-44c187773652"]}],"mendeley":{"formattedCitation":"(40)","plainTextFormattedCitation":"(40)","previouslyFormattedCitation":"(40)"},"properties":{"noteIndex":0},"schema":"https://github.com/citation-style-language/schema/raw/master/csl-citation.json"}</w:instrText>
      </w:r>
      <w:r w:rsidR="0098457F">
        <w:fldChar w:fldCharType="separate"/>
      </w:r>
      <w:r w:rsidR="0098457F" w:rsidRPr="0098457F">
        <w:rPr>
          <w:noProof/>
        </w:rPr>
        <w:t>(40)</w:t>
      </w:r>
      <w:r w:rsidR="0098457F">
        <w:fldChar w:fldCharType="end"/>
      </w:r>
      <w:r w:rsidR="0098457F">
        <w:fldChar w:fldCharType="begin" w:fldLock="1"/>
      </w:r>
      <w:r w:rsidR="0098457F">
        <w:instrText>ADDIN CSL_CITATION {"citationItems":[{"id":"ITEM-1","itemData":{"DOI":"10.1034/j.1600-0501.2001.012001035.x","ISSN":"09057161","abstract":"The purpose of the present study was to evaluate retrospectively, after 1 to 5 years of prosthetic loading, 123 implants consecutively inserted at the time of vertical ridge augmentation in 4 clinics. At the time of the implant surgery, 3 different techniques were used: the implants were allowed to protrude 2 to 7 mm from the bone level and a titanium reinforced expanded-polytetrafluoroethylene (e-PTFE) membrane was positioned to protect either the blood clot (Group A, 6 patients), or an allograft (Group B, 11 patients), or an autograft (Group C, 32 patients). The annual implant evaluation was carried out according to a standard protocol utilized for long term studies with endosseous implants inserted in non-regenerated bone. Only 1 implant failed immediately after the second stage surgery and after 1 month it was substituted with a new implant. All the remaining implants appeared clinically stable, no signs of radiolucency were present at the bone-implant interface, therefore, they could be defined successfully osseointegrated. The radiographic analysis showed stable bone crest levels with a mean bone loss of 1.35 mm for the Group A, of 1.87 mm for the Group B and of 1.71 for the Group C during the period of observation. Only 2 implants demonstrated an increased crestal bone loss of 3.5 mm and 4 mm respectively at the first year examination. On the base of these results, we can confirm previous long term studies on regenerated bone and we can conclude that vertically augmented bone with GBR techniques responds to implant placement like native, non-regenerated bone.","author":[{"dropping-particle":"","family":"Simion","given":"Massimo","non-dropping-particle":"","parse-names":false,"suffix":""},{"dropping-particle":"","family":"Jovanovic","given":"Sascha A.","non-dropping-particle":"","parse-names":false,"suffix":""},{"dropping-particle":"","family":"Tinti","given":"Carlo","non-dropping-particle":"","parse-names":false,"suffix":""},{"dropping-particle":"","family":"Benfenati","given":"Stefano Parma","non-dropping-particle":"","parse-names":false,"suffix":""}],"container-title":"Clinical Oral Implants Research","id":"ITEM-1","issue":"1","issued":{"date-parts":[["2001"]]},"number-of-pages":"35-45","title":"Long-term evaluation of osseointegrated implants inserted at the time or after vertical ridge augmentation: A retrospective study on I23 implants with I-5 year follow-up","type":"report","volume":"12"},"uris":["http://www.mendeley.com/documents/?uuid=9346a926-3878-3f58-8b13-e8a60b2f5aea"]}],"mendeley":{"formattedCitation":"(33)","plainTextFormattedCitation":"(33)","previouslyFormattedCitation":"(33)"},"properties":{"noteIndex":0},"schema":"https://github.com/citation-style-language/schema/raw/master/csl-citation.json"}</w:instrText>
      </w:r>
      <w:r w:rsidR="0098457F">
        <w:fldChar w:fldCharType="separate"/>
      </w:r>
      <w:r w:rsidR="0098457F" w:rsidRPr="0098457F">
        <w:rPr>
          <w:noProof/>
        </w:rPr>
        <w:t>(33)</w:t>
      </w:r>
      <w:r w:rsidR="0098457F">
        <w:fldChar w:fldCharType="end"/>
      </w:r>
      <w:r w:rsidR="0098457F">
        <w:fldChar w:fldCharType="begin" w:fldLock="1"/>
      </w:r>
      <w:r w:rsidR="0098457F">
        <w:instrText>ADDIN CSL_CITATION {"citationItems":[{"id":"ITEM-1","itemData":{"abstract":"Purpose: The aims of the current study were to: (1) evaluate the results of vertical guided bone regen-eration (GBR) with particulate autogenous bone grafts, (2) determine clinically and radiographically the success and survival rates of 82 implants placed in such surgical sites after prosthetic loading for 12 to 72 months, and (3) compare defects that were treated simultaneously with sinus augmentation and vertical GBR to other areas of the jaw treated with vertical GBR only. Materials and Methods: Eighty-two implants were inserted in 35 patients with 36 three-dimensional vertical bone defects. The patients were divided into three groups: single missing teeth (group A), multiple missing teeth (group B), and vertical defects in the posterior maxilla only (group C). All group C subjects were treated simultaneously with sinus and vertical augmentations. All patients were treated with vertical ridge augmentation utilizing titanium-reinforced polytetrafluoroethylene (e-PTFE) membranes and particulated auto-grafts. After removal of the e-PTFE membrane, all sites received a collagen membrane. Results: At membrane removal, mean vertical augmentation was 5.5 mm (± 2.29 mm). Mean combined crestal remodeling was 1.01 mm (± 0.57 mm) at 12 months, which remained stable through the 6-year follow-up period. There were no statistically significant differences between the three groups in mean marginal bone remodeling. One defect had a bone graft complication (2.78%, 95% CI: 0.00%, 8.15%). The overall implant survival rate was 100% with a cumulative success rate of 94.7%. Conclusions: (1) Vertical augmentation with e-PTFE membranes and particulated autografts is a safe and predictable treatment; (2) success and survival rates of implants placed in vertically augmented bone with the GBR technique appear similar to implants placed in native bone under loading conditions; (3) success and failure rates of implants placed into bone regenerated simultanously with sinus and vertical augmentation techniques compare favorably to those requiring only vertical augmentation. INT J ORAL MAXILLOFAC IMPLANTS 2009;24:502-510","author":[{"dropping-particle":"","family":"Urban","given":"Istvan A","non-dropping-particle":"","parse-names":false,"suffix":""},{"dropping-particle":"","family":"Jovanovic","given":"Sascha A","non-dropping-particle":"","parse-names":false,"suffix":""},{"dropping-particle":"","family":"Lozada","given":"Jaime L","non-dropping-particle":"","parse-names":false,"suffix":""}],"id":"ITEM-1","issued":{"date-parts":[["2009"]]},"number-of-pages":"502","title":"Vertical Ridge Augmentation Using Guided Bone Regeneration (GBR) in Three Clinical Scenarios Prior to Implant Placement: A Retrospective Study of 35 Patients 12 to 72 Months After Loading","type":"report","volume":"24"},"uris":["http://www.mendeley.com/documents/?uuid=2bdaf2cc-b013-333f-bc69-87249d9d24ad"]}],"mendeley":{"formattedCitation":"(34)","plainTextFormattedCitation":"(34)","previouslyFormattedCitation":"(34)"},"properties":{"noteIndex":0},"schema":"https://github.com/citation-style-language/schema/raw/master/csl-citation.json"}</w:instrText>
      </w:r>
      <w:r w:rsidR="0098457F">
        <w:fldChar w:fldCharType="separate"/>
      </w:r>
      <w:r w:rsidR="0098457F" w:rsidRPr="0098457F">
        <w:rPr>
          <w:noProof/>
        </w:rPr>
        <w:t>(34)</w:t>
      </w:r>
      <w:r w:rsidR="0098457F">
        <w:fldChar w:fldCharType="end"/>
      </w:r>
      <w:r w:rsidR="0098457F">
        <w:fldChar w:fldCharType="begin" w:fldLock="1"/>
      </w:r>
      <w:r w:rsidR="0098457F">
        <w:instrText>ADDIN CSL_CITATION {"citationItems":[{"id":"ITEM-1","itemData":{"DOI":"10.1111/j.1600-0501.2010.01936.x","ISSN":"09057161","abstract":"The evaluate the clinical outcome of bone augmentation with the use of particulate mineralized freeze-dried bone allograft (FDBA) with or without the addition of autogeneous bone chips, applied in a bi-layered (BL) technique, covered by a resorbable cross-linked collagen membrane.","author":[{"dropping-particle":"","family":"Beitlitum","given":"Ilan","non-dropping-particle":"","parse-names":false,"suffix":""},{"dropping-particle":"","family":"Artzi","given":"Zvi","non-dropping-particle":"","parse-names":false,"suffix":""},{"dropping-particle":"","family":"Nemcovsky","given":"Carlos E.","non-dropping-particle":"","parse-names":false,"suffix":""}],"container-title":"Clinical Oral Implants Research","id":"ITEM-1","issue":"11","issued":{"date-parts":[["2010","11"]]},"page":"1242-1250","title":"Clinical evaluation of particulate allogeneic with and without autogenous bone grafts and resorbable collagen membranes for bone augmentation of atrophic alveolar ridges","type":"article-journal","volume":"21"},"uris":["http://www.mendeley.com/documents/?uuid=8c3bd654-c8c8-39eb-857f-09ac5b09250d"]}],"mendeley":{"formattedCitation":"(38)","plainTextFormattedCitation":"(38)","previouslyFormattedCitation":"(38)"},"properties":{"noteIndex":0},"schema":"https://github.com/citation-style-language/schema/raw/master/csl-citation.json"}</w:instrText>
      </w:r>
      <w:r w:rsidR="0098457F">
        <w:fldChar w:fldCharType="separate"/>
      </w:r>
      <w:r w:rsidR="0098457F" w:rsidRPr="0098457F">
        <w:rPr>
          <w:noProof/>
        </w:rPr>
        <w:t>(38)</w:t>
      </w:r>
      <w:r w:rsidR="0098457F">
        <w:fldChar w:fldCharType="end"/>
      </w:r>
      <w:r w:rsidR="0098457F">
        <w:fldChar w:fldCharType="begin" w:fldLock="1"/>
      </w:r>
      <w:r w:rsidR="0098457F">
        <w:instrText>ADDIN CSL_CITATION {"citationItems":[{"id":"ITEM-1","itemData":{"ISSN":"0198-7569","PMID":"9558553","abstract":"This study investigated the effect on vertical bone regeneration of the addition of demineralized freeze-dried bone allograft or autogenous bone chips to a membrane technique. Twenty partially edentulous patients with vertical jawbone deficiencies were selected for this study. The patients were divided into two groups of 10 individuals. The 10 patients of Group A received 26 Brånemark implants in 10 surgical sites. The 10 patients of Group B received 32 implants in 12 surgical sites. Fifty-two out of 58 implants (22 in Group A and 30 in Group B) extended 1.5 to 7.5 mm superior to the bone crest. Titanium-reinforced expanded polytetrafluoroethylene membranes were used to cover the implants and, before complete membrane fixation, demineralized freeze-dried bone allograft particles were condensed under the membrane in Group A, and autogenous bone chips were used in Group B. At the reentry after 7 to 11 months the membranes were removed and a small biopsy was collected from 11 sites comprehending the miniscrews. The clinical measurements from Group A demonstrated a mean vertical bone gain of 3.1 mm (SD = 0.9 mm, range 1 to 5 mm) with a mean percentage of bone gain of 124% (SD = 46.6%). The measurements from Group B showed a mean vertical bone gain of 5.02 mm (SD = 2.3 mm, range 1 to 8.5 mm) with a mean percentage of bone gain of 95% (SD = 26.8%). Histomorphometric analysis of the present study clearly demonstrated a direct correlation between the density of the pre-existing bone and the density of the regenerated bone. The mean percentage of new bone-titanium contact was from 39.1% to 63.2%, depending on the quality of the pre-existing bone. Both the clinical and histologic results indicate a beneficial effect of the addition of demineralized freeze-dried bone allograft or autogenous bone particles to vertical ridge augmentation procedures in humans.","author":[{"dropping-particle":"","family":"Simion","given":"M","non-dropping-particle":"","parse-names":false,"suffix":""},{"dropping-particle":"","family":"Jovanovic","given":"S A","non-dropping-particle":"","parse-names":false,"suffix":""},{"dropping-particle":"","family":"Trisi","given":"P","non-dropping-particle":"","parse-names":false,"suffix":""},{"dropping-particle":"","family":"Scarano","given":"A","non-dropping-particle":"","parse-names":false,"suffix":""},{"dropping-particle":"","family":"Piattelli","given":"A","non-dropping-particle":"","parse-names":false,"suffix":""}],"container-title":"The International journal of periodontics &amp; restorative dentistry","id":"ITEM-1","issue":"1","issued":{"date-parts":[["1998"]]},"number-of-pages":"8-23","title":"Vertical ridge augmentation around dental implants using a membrane technique and autogenous bone or allografts in humans.","type":"report","volume":"18"},"uris":["http://www.mendeley.com/documents/?uuid=0a79f651-c566-383d-b3e4-d085198ab13c"]}],"mendeley":{"formattedCitation":"(36)","plainTextFormattedCitation":"(36)","previouslyFormattedCitation":"(36)"},"properties":{"noteIndex":0},"schema":"https://github.com/citation-style-language/schema/raw/master/csl-citation.json"}</w:instrText>
      </w:r>
      <w:r w:rsidR="0098457F">
        <w:fldChar w:fldCharType="separate"/>
      </w:r>
      <w:r w:rsidR="0098457F" w:rsidRPr="0098457F">
        <w:rPr>
          <w:noProof/>
        </w:rPr>
        <w:t>(36)</w:t>
      </w:r>
      <w:r w:rsidR="0098457F">
        <w:fldChar w:fldCharType="end"/>
      </w:r>
      <w:r w:rsidR="0098457F">
        <w:fldChar w:fldCharType="begin" w:fldLock="1"/>
      </w:r>
      <w:r w:rsidR="0098457F">
        <w:instrText>ADDIN CSL_CITATION {"citationItems":[{"id":"ITEM-1","itemData":{"DOI":"10.11607/jomi.3203","ISSN":"08822786","abstract":"Purpose: To compare the efficacy of two different techniques for vertical bone regeneration at implant placement with particulate autogenous bone at 6 years after loading by means of a double-blind, superiority, parallel-group randomized clinical trial. Materials and Methods: The study was conducted in a private center in Italy between April 2004 and December 2011. Patients in whom vertical bone augmentation was indicated in combination with the placement of single or multiple implants were eligible for inclusion in this trial. Patients were randomized to receive either resorbable collagen barriers supported by an osteosynthesis plate (test group) or nonresorbable titanium-reinforced expanded polytetrafluoroethylene barriers (control group). The outcome variables—radiographic bone variation at implant sites, implant failures, and complications— were evaluated 6 years after loading. Randomization was done by computer, with allocation concealed by opaque sequentially numbered sealed envelopes. The patients and the radiographic examiner were blinded to group assignment. Results: Twenty-two patients were randomized: 11 to the resorbable barrier group and 11 to the nonresorbable (control) group. One control group patient dropped out. The mean bone level 6 years after surgery was 1.33 mm for the resorbable group and 1.00 mm for the nonresorbable group. The adjusted difference in bone changes between groups was 0.15 mm (95% confidence interval, –0.39 to 0.69, P = .5713). No implant failures or complications occurred after loading. Conclusion: No differences were observed in this comparison of resorbable and nonresorbable barriers with simultaneous implant placement for vertical ridge augmentation [ABSTRACT FROM AUTHOR]","author":[{"dropping-particle":"","family":"Merli","given":"Mauro","non-dropping-particle":"","parse-names":false,"suffix":""},{"dropping-particle":"","family":"Moscatelli","given":"Marco","non-dropping-particle":"","parse-names":false,"suffix":""},{"dropping-particle":"","family":"Mariotti","given":"Giorgia","non-dropping-particle":"","parse-names":false,"suffix":""},{"dropping-particle":"","family":"Rotundo","given":"Roberto","non-dropping-particle":"","parse-names":false,"suffix":""},{"dropping-particle":"","family":"Bernardelli","given":"Francesco","non-dropping-particle":"","parse-names":false,"suffix":""},{"dropping-particle":"","family":"Nieri","given":"Michele","non-dropping-particle":"","parse-names":false,"suffix":""}],"container-title":"The International Journal of Oral &amp; Maxillofacial Implants","id":"ITEM-1","issue":"4","issued":{"date-parts":[["2014"]]},"page":"905-913","title":"Bone Level Variation After Vertical Ridge Augmentation: Resorbable Barriers Versus Titanium-Reinforced Barriers. A 6-Year Double-Blind Randomized Clinical Trial","type":"article-journal","volume":"29"},"uris":["http://www.mendeley.com/documents/?uuid=4d66438a-9dbe-4833-88e7-1d1337b04985"]}],"mendeley":{"formattedCitation":"(42)","plainTextFormattedCitation":"(42)","previouslyFormattedCitation":"(42)"},"properties":{"noteIndex":0},"schema":"https://github.com/citation-style-language/schema/raw/master/csl-citation.json"}</w:instrText>
      </w:r>
      <w:r w:rsidR="0098457F">
        <w:fldChar w:fldCharType="separate"/>
      </w:r>
      <w:r w:rsidR="0098457F" w:rsidRPr="0098457F">
        <w:rPr>
          <w:noProof/>
        </w:rPr>
        <w:t>(42)</w:t>
      </w:r>
      <w:r w:rsidR="0098457F">
        <w:fldChar w:fldCharType="end"/>
      </w:r>
      <w:r w:rsidR="0098457F">
        <w:fldChar w:fldCharType="begin" w:fldLock="1"/>
      </w:r>
      <w:r w:rsidR="0098457F">
        <w:instrText>ADDIN CSL_CITATION {"citationItems":[{"id":"ITEM-1","itemData":{"DOI":"10.1111/clr.12157","ISSN":"16000501","abstract":"OBJECTIVE This prospective randomized controlled trial was designed to test the performance of titanium-reinforced dense polytetrafluoroethylene (d-PTFE) membrane vs. titanium-reinforced expanded polytetrafluoroethylene (e-PTFE) membrane in achieving vertical bone regeneration, both associated with a composite grafting material. MATERIAL AND METHODS The study enrolled 23 patients requiring bone augmentation with guided bone regeneration (GBR) procedures for placing implants in atrophic posterior mandibles (available bone height &lt;7 mm). Implants were inserted and left to protrude from the bone level to achieve the programmed amount of vertical regeneration. Defects were filled with a composite bone graft (50% autologous bone and 50% mineralized bone allograft) and randomly covered with either an e-PTFE membrane (control) or a d-PTFE membrane (test). Membrane removal was performed after 6 months, and changes in bone height were recorded. RESULTS Seventy-eight implants were inserted in 26 mandibular sites contextually to vertical ridge augmentation procedures. The healing period was uneventful in all sites, and the vertical defects were satisfactorily filled with a newly formed hard tissue. Mean defect fill after 6 months was 5.49 mm (SD ± 1.58) at test sites and 4.91 mm (SD ± 1.78) at control sites. The normalized data (percentage changes against baseline) did not show any statistically significant difference between test and control groups (P = NS). CONCLUSIONS Based on the data from this study, both d-PTFE and e-PTFE membranes showed identical clinical results in the treatment of vertical bone defects around implants, using the GBR technique. The membrane removal procedure was easier to perform in the d-PTFE group than in the e-PTFE group.","author":[{"dropping-particle":"","family":"Ronda","given":"Marco","non-dropping-particle":"","parse-names":false,"suffix":""},{"dropping-particle":"","family":"Rebaudi","given":"Alberto","non-dropping-particle":"","parse-names":false,"suffix":""},{"dropping-particle":"","family":"Torelli","given":"Lucio","non-dropping-particle":"","parse-names":false,"suffix":""},{"dropping-particle":"","family":"Stacchi","given":"Claudio","non-dropping-particle":"","parse-names":false,"suffix":""}],"container-title":"Clinical Oral Implants Research","id":"ITEM-1","issue":"7","issued":{"date-parts":[["2014"]]},"page":"859-866","title":"Expanded vs. dense polytetrafluoroethylene membranes in vertical ridge augmentation around dental implants: A prospective randomized controlled clinical trial","type":"article-journal","volume":"25"},"uris":["http://www.mendeley.com/documents/?uuid=ad7492fd-9b4c-4933-9777-799efda38cd1"]}],"mendeley":{"formattedCitation":"(44)","plainTextFormattedCitation":"(44)","previouslyFormattedCitation":"(44)"},"properties":{"noteIndex":0},"schema":"https://github.com/citation-style-language/schema/raw/master/csl-citation.json"}</w:instrText>
      </w:r>
      <w:r w:rsidR="0098457F">
        <w:fldChar w:fldCharType="separate"/>
      </w:r>
      <w:r w:rsidR="0098457F" w:rsidRPr="0098457F">
        <w:rPr>
          <w:noProof/>
        </w:rPr>
        <w:t>(44)</w:t>
      </w:r>
      <w:r w:rsidR="0098457F">
        <w:fldChar w:fldCharType="end"/>
      </w:r>
      <w:r w:rsidR="0098457F">
        <w:fldChar w:fldCharType="begin" w:fldLock="1"/>
      </w:r>
      <w:r w:rsidR="0098457F">
        <w:instrText>ADDIN CSL_CITATION {"citationItems":[{"id":"ITEM-1","itemData":{"DOI":"10.1111/cid.12520","ISSN":"17088208","abstract":"© 2017 Wiley Periodicals, Inc. Background: The partial edentulous posterior mandible is often a challenge area that requires a bone reconstructive surgery for implants placement. Purpose: This RCT was aimed to evaluate complications rate and vertical bone gain after Guided Bone Regeneration (GBR) with dense non-resorbable d-PTFE titanium-reinforced membranes (Group A) versus titanium meshes covered by cross-linked collagen membranes (Group B). Material and Methods: 40 partially edentulous patients with atrophic posterior mandible, were randomly divided into two study group: 20 patients were treated with one stage GBR by means of non-resorbable d-PTFE titanium-reinforced membranes (Group A); and 20 patients, by means of titanium mesh covered by cross-linked collagen membranes (Group B). All complications were recorded, distinguishing between \"surgical\" and \"healing\" and between \"minor\" or \"major.\". Primary implants stability and vertical bone gain were also evaluated. Results: In the group A, surgical and healing complication rates were 5.0% and 15.0%, respectively. In the group B, surgical and healing complication rates were 15.8% and 21.1%, respectively. No significant differences between two study group were observed regarding complications rate implant stability and vertical bone gain. Conclusions: Both GBR approaches for the restoration of atrophic posterior mandible achieved similar results regarding complications, vertical bone gain and implant stability.","author":[{"dropping-particle":"","family":"Cucchi","given":"Alessandro","non-dropping-particle":"","parse-names":false,"suffix":""},{"dropping-particle":"","family":"Vignudelli","given":"Elisabetta","non-dropping-particle":"","parse-names":false,"suffix":""},{"dropping-particle":"","family":"Napolitano","given":"Aldo","non-dropping-particle":"","parse-names":false,"suffix":""},{"dropping-particle":"","family":"Marchetti","given":"Claudio","non-dropping-particle":"","parse-names":false,"suffix":""},{"dropping-particle":"","family":"Corinaldesi","given":"Giuseppe","non-dropping-particle":"","parse-names":false,"suffix":""}],"container-title":"Clinical Implant Dentistry and Related Research","id":"ITEM-1","issue":"5","issued":{"date-parts":[["2017","10","1"]]},"page":"821-832","publisher":"Blackwell Publishing Ltd","title":"Evaluation of complication rates and vertical bone gain after guided bone regeneration with non-resorbable membranes versus titanium meshes and resorbable membranes. A randomized clinical trial","type":"article-journal","volume":"19"},"uris":["http://www.mendeley.com/documents/?uuid=0aaa6e89-ae41-3822-abd2-47961c0f3253"]}],"mendeley":{"formattedCitation":"(46)","plainTextFormattedCitation":"(46)","previouslyFormattedCitation":"(46)"},"properties":{"noteIndex":0},"schema":"https://github.com/citation-style-language/schema/raw/master/csl-citation.json"}</w:instrText>
      </w:r>
      <w:r w:rsidR="0098457F">
        <w:fldChar w:fldCharType="separate"/>
      </w:r>
      <w:r w:rsidR="0098457F" w:rsidRPr="0098457F">
        <w:rPr>
          <w:noProof/>
        </w:rPr>
        <w:t>(46)</w:t>
      </w:r>
      <w:r w:rsidR="0098457F">
        <w:fldChar w:fldCharType="end"/>
      </w:r>
      <w:r w:rsidR="0098457F">
        <w:fldChar w:fldCharType="begin" w:fldLock="1"/>
      </w:r>
      <w:r w:rsidR="0098457F">
        <w:instrText>ADDIN CSL_CITATION {"citationItems":[{"id":"ITEM-1","itemData":{"DOI":"10.1111/cid.12814","ISSN":"17088208","author":[{"dropping-particle":"","family":"Cucchi","given":"Alessandro","non-dropping-particle":"","parse-names":false,"suffix":""},{"dropping-particle":"","family":"Sartori","given":"Maria","non-dropping-particle":"","parse-names":false,"suffix":""},{"dropping-particle":"","family":"Parrilli","given":"Annapaola","non-dropping-particle":"","parse-names":false,"suffix":""},{"dropping-particle":"","family":"Aldini","given":"Nicolò N.","non-dropping-particle":"","parse-names":false,"suffix":""},{"dropping-particle":"","family":"Vignudelli","given":"Elisabetta","non-dropping-particle":"","parse-names":false,"suffix":""},{"dropping-particle":"","family":"Corinaldesi","given":"Giuseppe","non-dropping-particle":"","parse-names":false,"suffix":""}],"container-title":"Clinical Implant Dentistry and Related Research","id":"ITEM-1","issue":"January","issued":{"date-parts":[["2019"]]},"page":"1-9","title":"Histological and histomorphometric analysis of bone tissue after guided bone regeneration with non-resorbable membranes vs resorbable membranes and titanium mesh","type":"article-journal"},"uris":["http://www.mendeley.com/documents/?uuid=900814d7-0f4e-4cd6-a3e5-48dcd2955fac"]}],"mendeley":{"formattedCitation":"(47)","plainTextFormattedCitation":"(47)","previouslyFormattedCitation":"(47)"},"properties":{"noteIndex":0},"schema":"https://github.com/citation-style-language/schema/raw/master/csl-citation.json"}</w:instrText>
      </w:r>
      <w:r w:rsidR="0098457F">
        <w:fldChar w:fldCharType="separate"/>
      </w:r>
      <w:r w:rsidR="0098457F" w:rsidRPr="0098457F">
        <w:rPr>
          <w:noProof/>
        </w:rPr>
        <w:t>(47)</w:t>
      </w:r>
      <w:r w:rsidR="0098457F">
        <w:fldChar w:fldCharType="end"/>
      </w:r>
      <w:r w:rsidR="0098457F">
        <w:fldChar w:fldCharType="begin" w:fldLock="1"/>
      </w:r>
      <w:r w:rsidR="0098457F">
        <w:instrText>ADDIN CSL_CITATION {"citationItems":[{"id":"ITEM-1","itemData":{"DOI":"10.1111/j.1600-0501.2007.01389.x","ISSN":"09057161","abstract":"OBJECTIVE: To evaluate, from a histological and histomorphometrical perspective, the efficacy of a 1 : 1 mixture of deproteinized bovine bone mineral (DBBM) and autogenous bone graft associated with an expanded-polytetrafluoroethylene (e-PTFE) membrane for vertical ridge augmentation in the human. MATERIAL AND METHODS: Seven patients with 10 surgical sites requiring vertical ridge augmentation of partially edentulous lower jaws were included in the study. The vertical augmentation procedure was performed combining a titanium-reinforced e-PTFE Gore-Tex membrane with a composite graft consisting of a 1 : 1 ratio of DBBM (Bio-Oss) and autogenous bone. Twenty-seven Branemark implants have been inserted. Eleven biopsies from the regenerated area were analyzed histologically and histomorphometrically. RESULTS: The healing period was uneventful in nine surgical sites. In one site the membrane showed an exposure after 3 months. At the abutment connection, all implants appeared stable and submerged by a hard regenerated tissue clinically similar to bone. The histological analysis showed new bone formation and ongoing remodelling of the autogenous bone and the DBBM particles. CONCLUSIONS: The findings from the present clinical and histological study support the use of a 1 : 1 combination of DBBM and autogenous bone chips for vertical ridge augmentation by means of guided bone regeneration techniques. The regenerated bone may lead to proper osseointegration of a dental implant inserted at the time of the regenerative procedure or after a healing period of at least 6 months. DBBM undergoes very slow resorption and substitution with new bone. Furthermore, long-term clinical studies are needed to confirm the positive effect of DBBM in enhancing the lasting stability of the vertically augmented bone.","author":[{"dropping-particle":"","family":"Simion","given":"Massimo","non-dropping-particle":"","parse-names":false,"suffix":""},{"dropping-particle":"","family":"Fontana","given":"Filippo","non-dropping-particle":"","parse-names":false,"suffix":""},{"dropping-particle":"","family":"Rasperini","given":"Giulio","non-dropping-particle":"","parse-names":false,"suffix":""},{"dropping-particle":"","family":"Maiorana","given":"Carlo","non-dropping-particle":"","parse-names":false,"suffix":""}],"container-title":"Clinical Oral Implants Research","id":"ITEM-1","issue":"5","issued":{"date-parts":[["2007","10"]]},"page":"620-629","title":"Vertical ridge augmentation by expanded-polytetrafluoroethylene membrane and a combination of intraoral autogenous bone graft and deproteinized anorganic bovine bone (Bio Oss)","type":"article-journal","volume":"18"},"uris":["http://www.mendeley.com/documents/?uuid=57f53f9b-9452-3f2d-8800-2cb3d0a8244f"]}],"mendeley":{"formattedCitation":"(39)","plainTextFormattedCitation":"(39)","previouslyFormattedCitation":"(39)"},"properties":{"noteIndex":0},"schema":"https://github.com/citation-style-language/schema/raw/master/csl-citation.json"}</w:instrText>
      </w:r>
      <w:r w:rsidR="0098457F">
        <w:fldChar w:fldCharType="separate"/>
      </w:r>
      <w:r w:rsidR="0098457F" w:rsidRPr="0098457F">
        <w:rPr>
          <w:noProof/>
        </w:rPr>
        <w:t>(39)</w:t>
      </w:r>
      <w:r w:rsidR="0098457F">
        <w:fldChar w:fldCharType="end"/>
      </w:r>
      <w:r w:rsidRPr="004836AF">
        <w:t xml:space="preserve"> con la colocación diferida</w:t>
      </w:r>
      <w:r w:rsidR="0098457F">
        <w:t xml:space="preserve"> </w:t>
      </w:r>
      <w:r w:rsidR="0098457F">
        <w:fldChar w:fldCharType="begin" w:fldLock="1"/>
      </w:r>
      <w:r w:rsidR="0098457F">
        <w:instrText>ADDIN CSL_CITATION {"citationItems":[{"id":"ITEM-1","itemData":{"DOI":"10.11607/jomi.3346","ISSN":"19424434","abstract":"Urban et al. avaliam o uso de membranas não absorvíveis reforçadas por titânio (politetrafluoretileno de alta densidade) em combinação com uma mistura de osso bovino inorgânico e osso particulado autógeno, para aumento vertical de cristas auveolares deficientes. Dentro das limitações deste estudo, o tratamento com osso autógeno associado a osso inorgânico bovino e membrana reforçada com titânio pode ser considerado um sucesso. A avaliação histológica mostrou que o osso bovino inorgânico, as partículas de derivado mineral foram conectadas com a densa rede de neoosso formado de diferentes graus de maturação. Entretanto mais estudos clínicos padronizados e controlados são necessários para promover esta membrana investigada, assim como outros substitutos ósseos, se podem suportar a cicatrização, da mesma forma em que foi demonstrado neste estudo.","author":[{"dropping-particle":"","family":"Urban","given":"Istvan A.","non-dropping-particle":"","parse-names":false,"suffix":""},{"dropping-particle":"","family":"Lozada","given":"Jaime L.","non-dropping-particle":"","parse-names":false,"suffix":""},{"dropping-particle":"","family":"Jovanovic","given":"Sascha A.","non-dropping-particle":"","parse-names":false,"suffix":""},{"dropping-particle":"","family":"Nagursky","given":"Heiner","non-dropping-particle":"","parse-names":false,"suffix":""},{"dropping-particle":"","family":"Nagy","given":"Katalin","non-dropping-particle":"","parse-names":false,"suffix":""}],"container-title":"The International journal of oral &amp; maxillofacial implants","id":"ITEM-1","issue":"1","issued":{"date-parts":[["2014"]]},"page":"185-193","title":"Vertical ridge augmentation with titanium-reinforced, dense-PTFE membranes and a combination of particulated autogenous bone and anorganic bovine bone-derived mineral: a prospective case series in 19 patients.","type":"article-journal","volume":"29"},"uris":["http://www.mendeley.com/documents/?uuid=e30fa05d-6e45-3777-a2f6-df1766e2fb93"]}],"mendeley":{"formattedCitation":"(45)","plainTextFormattedCitation":"(45)","previouslyFormattedCitation":"(45)"},"properties":{"noteIndex":0},"schema":"https://github.com/citation-style-language/schema/raw/master/csl-citation.json"}</w:instrText>
      </w:r>
      <w:r w:rsidR="0098457F">
        <w:fldChar w:fldCharType="separate"/>
      </w:r>
      <w:r w:rsidR="0098457F" w:rsidRPr="0098457F">
        <w:rPr>
          <w:noProof/>
        </w:rPr>
        <w:t>(45)</w:t>
      </w:r>
      <w:r w:rsidR="0098457F">
        <w:fldChar w:fldCharType="end"/>
      </w:r>
      <w:r w:rsidR="0098457F">
        <w:fldChar w:fldCharType="begin" w:fldLock="1"/>
      </w:r>
      <w:r w:rsidR="001F34DB">
        <w:instrText>ADDIN CSL_CITATION {"citationItems":[{"id":"ITEM-1","itemData":{"abstract":"Purpose: To compare clinically and histologically an allogeneic bone matrix to autogenous bone chips in the vertical ridge augmentation technique using titanium-reinforced e-PTFE membranes. Materials and Methods: The study protocol was designed to include patients with bilateral posterior mandibular partial edentulism. Patients were treated with a split-mouth design approach: each side was randomly assigned to the test group (titanium-reinforced e-PTFE membrane and allogeneic bone matrix) or to the control group (titanium-reinforced e-PTFE membrane and autogenous bone chips). Different clinical parameters including the amount of vertically regenerated bone (DSB) and biologic complications were recorded. Histomorphometric analysis and the bone-implant contact percentage were performed. Results: Five female patients were enrolled in the study. Ten edentulous sites were vertically augmented and 25 implants were inserted (13 test group, 12 control group) with a staged approach. In the test group no membrane was exposed. The mean bone regeneration was 4.70 mm (SD 0.48 mm). All 13 implants appeared clinically stable. In the control group, 1 membrane was exposed after 2 months. The mean crestal bone regeneration was 4.10 mm (SD 0.88 mm). All 12 implants were stable at the abutment connection. Nine biopsy specimens from the regenerated areas were evaluated. Vertical bone regeneration was evident in both groups since all the samples demonstrated trabecular bone with different degrees of maturation and mineralization in the regenerated area. Conclusion: Within the limits of this study based on 5 patients, it appears that the behavior of the allogeneic bone matrix is similar to that of autogenous bone chips when used for vertical ridge augmentation by means of guided bone regeneration techniques. Both grafts demonstrated analogous histologic characteristics. Nevertheless, long-term clinical studies are needed to confirm these preliminary results. INT J ORAL","author":[{"dropping-particle":"","family":"Fontana","given":"Filippo","non-dropping-particle":"","parse-names":false,"suffix":""},{"dropping-particle":"","family":"Santoro","given":"Franco","non-dropping-particle":"","parse-names":false,"suffix":""},{"dropping-particle":"","family":"Maiorana","given":"Carlo","non-dropping-particle":"","parse-names":false,"suffix":""},{"dropping-particle":"","family":"Iezzi","given":"Giovanna","non-dropping-particle":"","parse-names":false,"suffix":""},{"dropping-particle":"","family":"Piattelli","given":"Adriano","non-dropping-particle":"","parse-names":false,"suffix":""},{"dropping-particle":"","family":"Simion","given":"Massimo","non-dropping-particle":"","parse-names":false,"suffix":""}],"id":"ITEM-1","issued":{"date-parts":[["2008"]]},"title":"Clinical and Histologic Evaluation of Allogeneic Bone Matrix Versus Autogenous Bone Chips Associated with Titanium-Reinforced e-PTFE Membrane for Vertical Ridge Augmentation: A Prospective Pilot Study","type":"report"},"uris":["http://www.mendeley.com/documents/?uuid=08fd0075-8399-31b7-90bb-2d310f8d9968"]}],"mendeley":{"formattedCitation":"(35)","plainTextFormattedCitation":"(35)","previouslyFormattedCitation":"(35)"},"properties":{"noteIndex":0},"schema":"https://github.com/citation-style-language/schema/raw/master/csl-citation.json"}</w:instrText>
      </w:r>
      <w:r w:rsidR="0098457F">
        <w:fldChar w:fldCharType="separate"/>
      </w:r>
      <w:r w:rsidR="0098457F" w:rsidRPr="0098457F">
        <w:rPr>
          <w:noProof/>
        </w:rPr>
        <w:t>(35)</w:t>
      </w:r>
      <w:r w:rsidR="0098457F">
        <w:fldChar w:fldCharType="end"/>
      </w:r>
      <w:r w:rsidR="001F34DB">
        <w:fldChar w:fldCharType="begin" w:fldLock="1"/>
      </w:r>
      <w:r w:rsidR="001F34DB">
        <w:instrText>ADDIN CSL_CITATION {"citationItems":[{"id":"ITEM-1","itemData":{"DOI":"10.11607/prd.2136","ISSN":"01987569","abstract":"The aim of this study was to retrospectively evaluate 75 implants inserted in vertically augmented bone at the time of or prior to implant placement after 1 to 6 years of prosthetic loading. The study included 21 patients (29 surgical sites). The vertical procedure was performed combining a titanium-reinforced expanded polytetrafluoroethylene membrane with autograft (7 sites), allograft (5 sites), or auto-xenograft (17 sites). Healing was uneventful in 24 surgical sites. Three sites showed premature exposure, and two sites presented an abscess. Two implants were lost, for a cumulative survival rate of 93.6%. Mean bone remodeling at 1, 2, 3, 4, 5, and 6 years was 0.34, 0.72, 1.04, 0.84, 0.56, and 0.61 mm, respectively. The implant success rate was higher with a simultaneous approach (82.5%) compared with a staged approach (66.8%). Implants surrounded by keratinized mucosa revealed a higher success rate (82.1%) than those without it (58.4%).","author":[{"dropping-particle":"","family":"Fontana","given":"Filippo","non-dropping-particle":"","parse-names":false,"suffix":""},{"dropping-particle":"","family":"Grossi","given":"Giovanni","non-dropping-particle":"","parse-names":false,"suffix":""},{"dropping-particle":"","family":"Fimano","given":"Maurizio","non-dropping-particle":"","parse-names":false,"suffix":""},{"dropping-particle":"","family":"Maiorana","given":"Carlo","non-dropping-particle":"","parse-names":false,"suffix":""}],"container-title":"International Journal of Periodontics and Restorative Dentistry","id":"ITEM-1","issue":"1","issued":{"date-parts":[["2015","1"]]},"page":"29-39","publisher":"Quintessence Publishing","title":"Osseointegrated Implants in Vertical Ridge Augmentation with a Nonresorbable Membrane: A Retrospective Study of 75 Implants with 1 to 6 Years of Follow-up","type":"article-journal","volume":"35"},"uris":["http://www.mendeley.com/documents/?uuid=d85003dd-1779-3411-a7fd-44c187773652"]}],"mendeley":{"formattedCitation":"(40)","plainTextFormattedCitation":"(40)","previouslyFormattedCitation":"(40)"},"properties":{"noteIndex":0},"schema":"https://github.com/citation-style-language/schema/raw/master/csl-citation.json"}</w:instrText>
      </w:r>
      <w:r w:rsidR="001F34DB">
        <w:fldChar w:fldCharType="separate"/>
      </w:r>
      <w:r w:rsidR="001F34DB" w:rsidRPr="001F34DB">
        <w:rPr>
          <w:noProof/>
        </w:rPr>
        <w:t>(40)</w:t>
      </w:r>
      <w:r w:rsidR="001F34DB">
        <w:fldChar w:fldCharType="end"/>
      </w:r>
      <w:r w:rsidR="001F34DB">
        <w:fldChar w:fldCharType="begin" w:fldLock="1"/>
      </w:r>
      <w:r w:rsidR="001F34DB">
        <w:instrText>ADDIN CSL_CITATION {"citationItems":[{"id":"ITEM-1","itemData":{"DOI":"10.11607/prd.1460","ISSN":"01987569","abstract":"The purpose of this case series was to report the clinical outcomes and histologic findings of vertical ridge augmentation using a combination of titanium mesh, resorbable collagen membrane, and recombinant human platelet-derived growth factor BB (rhPDGF-BB). Nineteen patients were included, and autogenous bone and anorganic bovine bone particles were used. The bone graft was mixed with rhPDGF-BB and loaded onto the bony defect up to the level of the adjacent alveolar crest. A pre-adapted titanium mesh was placed over the grafted region and covered with a resorbable collagen membrane, leaving no areas of the grafted region exposed. Seventeen patients exhibited good soft tissue healing. Postoperative flap dehiscence occurred relatively early in the healing period in one patient, whereas the covering collagen membrane was exposed during the later phase of the healing period in another. During reentry surgery for removal of the titanium mesh, three patients with favorable soft and hard tissue healing underwent bone biopsies for histologic evaluation of the augmented tissue just below the titanium mesh. The mean vertical height of augmented bone was 8.6 ± 4.0 mm. This report demonstrates the remarkable efficacy of guided bone regeneration using a combination of titanium mesh, resorbable collagen membrane, and rhPDGF for vertical ridge augmentation, thus expanding the indications for implant therapy and allowing recovery of the three-dimensional esthetic architecture in a severely absorbed alveolar ridge.","author":[{"dropping-particle":"","family":"Funato","given":"Akiyoshi","non-dropping-particle":"","parse-names":false,"suffix":""},{"dropping-particle":"","family":"Ishikawa","given":"Tomohiro","non-dropping-particle":"","parse-names":false,"suffix":""},{"dropping-particle":"","family":"Kitajima","given":"Hajime","non-dropping-particle":"","parse-names":false,"suffix":""},{"dropping-particle":"","family":"Yamada","given":"Masahiro","non-dropping-particle":"","parse-names":false,"suffix":""},{"dropping-particle":"","family":"Moroi","given":"Hidetada","non-dropping-particle":"","parse-names":false,"suffix":""}],"container-title":"The International Journal of Periodontics and Restorative Dentistry","id":"ITEM-1","issue":"4","issued":{"date-parts":[["2013","7"]]},"page":"437-445","publisher":"Quintessence Publishing","title":"A Novel Combined Surgical Approach to Vertical Alveolar Ridge Augmentation with Titanium Mesh, Resorbable Membrane, and rhPDGF-BB: A Retrospective Consecutive Case Series","type":"article-journal","volume":"33"},"uris":["http://www.mendeley.com/documents/?uuid=f7e6da5e-a577-37bd-8ff2-cafda5a2ad6e"]}],"mendeley":{"formattedCitation":"(41)","plainTextFormattedCitation":"(41)","previouslyFormattedCitation":"(41)"},"properties":{"noteIndex":0},"schema":"https://github.com/citation-style-language/schema/raw/master/csl-citation.json"}</w:instrText>
      </w:r>
      <w:r w:rsidR="001F34DB">
        <w:fldChar w:fldCharType="separate"/>
      </w:r>
      <w:r w:rsidR="001F34DB" w:rsidRPr="001F34DB">
        <w:rPr>
          <w:noProof/>
        </w:rPr>
        <w:t>(41)</w:t>
      </w:r>
      <w:r w:rsidR="001F34DB">
        <w:fldChar w:fldCharType="end"/>
      </w:r>
      <w:r w:rsidR="001F34DB">
        <w:fldChar w:fldCharType="begin" w:fldLock="1"/>
      </w:r>
      <w:r w:rsidR="001F34DB">
        <w:instrText>ADDIN CSL_CITATION {"citationItems":[{"id":"ITEM-1","itemData":{"DOI":"10.1111/j.1600-0501.2010.01936.x","ISSN":"09057161","abstract":"The evaluate the clinical outcome of bone augmentation with the use of particulate mineralized freeze-dried bone allograft (FDBA) with or without the addition of autogeneous bone chips, applied in a bi-layered (BL) technique, covered by a resorbable cross-linked collagen membrane.","author":[{"dropping-particle":"","family":"Beitlitum","given":"Ilan","non-dropping-particle":"","parse-names":false,"suffix":""},{"dropping-particle":"","family":"Artzi","given":"Zvi","non-dropping-particle":"","parse-names":false,"suffix":""},{"dropping-particle":"","family":"Nemcovsky","given":"Carlos E.","non-dropping-particle":"","parse-names":false,"suffix":""}],"container-title":"Clinical Oral Implants Research","id":"ITEM-1","issue":"11","issued":{"date-parts":[["2010","11"]]},"page":"1242-1250","title":"Clinical evaluation of particulate allogeneic with and without autogenous bone grafts and resorbable collagen membranes for bone augmentation of atrophic alveolar ridges","type":"article-journal","volume":"21"},"uris":["http://www.mendeley.com/documents/?uuid=8c3bd654-c8c8-39eb-857f-09ac5b09250d"]}],"mendeley":{"formattedCitation":"(38)","plainTextFormattedCitation":"(38)","previouslyFormattedCitation":"(38)"},"properties":{"noteIndex":0},"schema":"https://github.com/citation-style-language/schema/raw/master/csl-citation.json"}</w:instrText>
      </w:r>
      <w:r w:rsidR="001F34DB">
        <w:fldChar w:fldCharType="separate"/>
      </w:r>
      <w:r w:rsidR="001F34DB" w:rsidRPr="001F34DB">
        <w:rPr>
          <w:noProof/>
        </w:rPr>
        <w:t>(38)</w:t>
      </w:r>
      <w:r w:rsidR="001F34DB">
        <w:fldChar w:fldCharType="end"/>
      </w:r>
      <w:r w:rsidR="001F34DB">
        <w:fldChar w:fldCharType="begin" w:fldLock="1"/>
      </w:r>
      <w:r w:rsidR="001F34DB">
        <w:instrText>ADDIN CSL_CITATION {"citationItems":[{"id":"ITEM-1","itemData":{"DOI":"10.1902/jop.2007.070001","ISSN":"0022-3492","abstract":"Background: Recently, the use of titanium micromesh for alveolar bone augmentation has drawn interest; however, only limited histologic data are available on the quality of the bone regenerated. Therefore, this study compared the use of 100% intraoral autogenous bone to a combination of intraoral autogenous bone (70%) and bovine porous bone mineral (BPBM) (30%) for alveolar ridge augmentation with titanium micromesh histologically and histomorphometrically. Methods: Twelve partially edentulous patients required alveolar bone augmentation before implant insertion because of ridge resorption. The defect sites, six in the maxilla and six in the mandible, were reconstructed with particulate autologous bone (control group, N = 6) or a mixture of autologous bone and BPBM (test group, N = 6) in combination with titanium micromesh. Core biopsies were taken from the defect sites 8 to 9 months after grafting at the time of implant insertion. Results: Newly formed compact bone with a well-organized lamellar pattern was identified in all specimens. In the samples taken from the test group, the BPBM particles were surrounded completely by newly formed bone with no signs of resorption. The mean total bone volume was 62.38% ± 13.02% in the control group and 52.88% ± 11.47% in the test group. The soft tissue volume was 37.61% ± 13.02% and 29.96% ± 12.58%, respectively, and the residual BPBM volume was 17.15% ± 2.72% in the test group. No statistical difference was observed in the histologic parameters evaluated, irrespective of graft type and site (P&gt;0.05). Conclusion: Within the limits of this study, BPBM (30%) in combination with autogenous bone (70%) did not yield a lower percentage of new bone formed compared to autogenous bone alone in ridge augmentation with titanium micromesh.","author":[{"dropping-particle":"","family":"Corinaldesi","given":"Giuseppe","non-dropping-particle":"","parse-names":false,"suffix":""},{"dropping-particle":"","family":"Pieri","given":"Francesco","non-dropping-particle":"","parse-names":false,"suffix":""},{"dropping-particle":"","family":"Marchetti","given":"Claudio","non-dropping-particle":"","parse-names":false,"suffix":""},{"dropping-particle":"","family":"Fini","given":"Milena","non-dropping-particle":"","parse-names":false,"suffix":""},{"dropping-particle":"","family":"Aldini","given":"Nicolò Nicoli","non-dropping-particle":"","parse-names":false,"suffix":""},{"dropping-particle":"","family":"Giardino","given":"Roberto","non-dropping-particle":"","parse-names":false,"suffix":""}],"container-title":"Journal of Periodontology","id":"ITEM-1","issue":"8","issued":{"date-parts":[["2007","8"]]},"page":"1477-1484","publisher":"Wiley","title":"Histologic and Histomorphometric Evaluation of Alveolar Ridge Augmentation Using Bone Grafts and Titanium Micromesh in Humans","type":"article-journal","volume":"78"},"uris":["http://www.mendeley.com/documents/?uuid=5c7a8624-2047-306c-9a38-66f1b7c41411"]}],"mendeley":{"formattedCitation":"(37)","plainTextFormattedCitation":"(37)","previouslyFormattedCitation":"(37)"},"properties":{"noteIndex":0},"schema":"https://github.com/citation-style-language/schema/raw/master/csl-citation.json"}</w:instrText>
      </w:r>
      <w:r w:rsidR="001F34DB">
        <w:fldChar w:fldCharType="separate"/>
      </w:r>
      <w:r w:rsidR="001F34DB" w:rsidRPr="001F34DB">
        <w:rPr>
          <w:noProof/>
        </w:rPr>
        <w:t>(37)</w:t>
      </w:r>
      <w:r w:rsidR="001F34DB">
        <w:fldChar w:fldCharType="end"/>
      </w:r>
      <w:r w:rsidRPr="004836AF">
        <w:t xml:space="preserve">. En </w:t>
      </w:r>
      <w:r w:rsidR="00A56A8E" w:rsidRPr="004836AF">
        <w:t>algunos</w:t>
      </w:r>
      <w:r w:rsidRPr="004836AF">
        <w:t xml:space="preserve"> estudios el criterio para la colocación fue que tuvieran disponibilidad ósea  para estabilizar el implante </w:t>
      </w:r>
      <w:r w:rsidR="001F34DB">
        <w:fldChar w:fldCharType="begin" w:fldLock="1"/>
      </w:r>
      <w:r w:rsidR="001F34DB">
        <w:instrText>ADDIN CSL_CITATION {"citationItems":[{"id":"ITEM-1","itemData":{"DOI":"10.1111/j.1600-0501.2010.01936.x","ISSN":"09057161","abstract":"The evaluate the clinical outcome of bone augmentation with the use of particulate mineralized freeze-dried bone allograft (FDBA) with or without the addition of autogeneous bone chips, applied in a bi-layered (BL) technique, covered by a resorbable cross-linked collagen membrane.","author":[{"dropping-particle":"","family":"Beitlitum","given":"Ilan","non-dropping-particle":"","parse-names":false,"suffix":""},{"dropping-particle":"","family":"Artzi","given":"Zvi","non-dropping-particle":"","parse-names":false,"suffix":""},{"dropping-particle":"","family":"Nemcovsky","given":"Carlos E.","non-dropping-particle":"","parse-names":false,"suffix":""}],"container-title":"Clinical Oral Implants Research","id":"ITEM-1","issue":"11","issued":{"date-parts":[["2010","11"]]},"page":"1242-1250","title":"Clinical evaluation of particulate allogeneic with and without autogenous bone grafts and resorbable collagen membranes for bone augmentation of atrophic alveolar ridges","type":"article-journal","volume":"21"},"uris":["http://www.mendeley.com/documents/?uuid=8c3bd654-c8c8-39eb-857f-09ac5b09250d"]}],"mendeley":{"formattedCitation":"(38)","plainTextFormattedCitation":"(38)","previouslyFormattedCitation":"(38)"},"properties":{"noteIndex":0},"schema":"https://github.com/citation-style-language/schema/raw/master/csl-citation.json"}</w:instrText>
      </w:r>
      <w:r w:rsidR="001F34DB">
        <w:fldChar w:fldCharType="separate"/>
      </w:r>
      <w:r w:rsidR="001F34DB" w:rsidRPr="001F34DB">
        <w:rPr>
          <w:noProof/>
        </w:rPr>
        <w:t>(38)</w:t>
      </w:r>
      <w:r w:rsidR="001F34DB">
        <w:fldChar w:fldCharType="end"/>
      </w:r>
      <w:r w:rsidR="001F34DB">
        <w:fldChar w:fldCharType="begin" w:fldLock="1"/>
      </w:r>
      <w:r w:rsidR="001F34DB">
        <w:instrText>ADDIN CSL_CITATION {"citationItems":[{"id":"ITEM-1","itemData":{"DOI":"10.11607/prd.2136","ISSN":"01987569","abstract":"The aim of this study was to retrospectively evaluate 75 implants inserted in vertically augmented bone at the time of or prior to implant placement after 1 to 6 years of prosthetic loading. The study included 21 patients (29 surgical sites). The vertical procedure was performed combining a titanium-reinforced expanded polytetrafluoroethylene membrane with autograft (7 sites), allograft (5 sites), or auto-xenograft (17 sites). Healing was uneventful in 24 surgical sites. Three sites showed premature exposure, and two sites presented an abscess. Two implants were lost, for a cumulative survival rate of 93.6%. Mean bone remodeling at 1, 2, 3, 4, 5, and 6 years was 0.34, 0.72, 1.04, 0.84, 0.56, and 0.61 mm, respectively. The implant success rate was higher with a simultaneous approach (82.5%) compared with a staged approach (66.8%). Implants surrounded by keratinized mucosa revealed a higher success rate (82.1%) than those without it (58.4%).","author":[{"dropping-particle":"","family":"Fontana","given":"Filippo","non-dropping-particle":"","parse-names":false,"suffix":""},{"dropping-particle":"","family":"Grossi","given":"Giovanni","non-dropping-particle":"","parse-names":false,"suffix":""},{"dropping-particle":"","family":"Fimano","given":"Maurizio","non-dropping-particle":"","parse-names":false,"suffix":""},{"dropping-particle":"","family":"Maiorana","given":"Carlo","non-dropping-particle":"","parse-names":false,"suffix":""}],"container-title":"International Journal of Periodontics and Restorative Dentistry","id":"ITEM-1","issue":"1","issued":{"date-parts":[["2015","1"]]},"page":"29-39","publisher":"Quintessence Publishing","title":"Osseointegrated Implants in Vertical Ridge Augmentation with a Nonresorbable Membrane: A Retrospective Study of 75 Implants with 1 to 6 Years of Follow-up","type":"article-journal","volume":"35"},"uris":["http://www.mendeley.com/documents/?uuid=d85003dd-1779-3411-a7fd-44c187773652"]}],"mendeley":{"formattedCitation":"(40)","plainTextFormattedCitation":"(40)","previouslyFormattedCitation":"(40)"},"properties":{"noteIndex":0},"schema":"https://github.com/citation-style-language/schema/raw/master/csl-citation.json"}</w:instrText>
      </w:r>
      <w:r w:rsidR="001F34DB">
        <w:fldChar w:fldCharType="separate"/>
      </w:r>
      <w:r w:rsidR="001F34DB" w:rsidRPr="001F34DB">
        <w:rPr>
          <w:noProof/>
        </w:rPr>
        <w:t>(40)</w:t>
      </w:r>
      <w:r w:rsidR="001F34DB">
        <w:fldChar w:fldCharType="end"/>
      </w:r>
      <w:r w:rsidRPr="004836AF">
        <w:t>.</w:t>
      </w:r>
    </w:p>
    <w:p w14:paraId="07B02D6E" w14:textId="321BD2E1" w:rsidR="005E334C" w:rsidRPr="004836AF" w:rsidRDefault="00117609" w:rsidP="005221AF">
      <w:pPr>
        <w:spacing w:line="360" w:lineRule="auto"/>
        <w:ind w:right="1"/>
        <w:jc w:val="both"/>
      </w:pPr>
      <w:r w:rsidRPr="004836AF">
        <w:t xml:space="preserve">Consideramos importante </w:t>
      </w:r>
      <w:r w:rsidR="00A56A8E" w:rsidRPr="004836AF">
        <w:t>que,</w:t>
      </w:r>
      <w:r w:rsidRPr="004836AF">
        <w:t xml:space="preserve"> frente a una posible infección, la colocación simultánea a la regeneración del implante podría dificultar el manejo de la complicación.  Perdiendo parte del volumen deseado y el implante ya que podría quedar </w:t>
      </w:r>
      <w:r w:rsidR="0007783E">
        <w:t>parcialmente expuesto.</w:t>
      </w:r>
      <w:r w:rsidRPr="004836AF">
        <w:t xml:space="preserve"> </w:t>
      </w:r>
    </w:p>
    <w:p w14:paraId="0CCB782E" w14:textId="39E574C5" w:rsidR="005E334C" w:rsidRPr="004836AF" w:rsidRDefault="00117609" w:rsidP="005221AF">
      <w:pPr>
        <w:spacing w:line="360" w:lineRule="auto"/>
        <w:ind w:right="1"/>
        <w:jc w:val="both"/>
      </w:pPr>
      <w:r w:rsidRPr="004836AF">
        <w:t>Hay que tomar en conside</w:t>
      </w:r>
      <w:r w:rsidR="001F34DB">
        <w:t>r</w:t>
      </w:r>
      <w:r w:rsidRPr="004836AF">
        <w:t>ación  que en todos los estudios realizados las técnicas fueron efectivas</w:t>
      </w:r>
      <w:r w:rsidR="0007783E">
        <w:t>,</w:t>
      </w:r>
      <w:r w:rsidRPr="004836AF">
        <w:t xml:space="preserve"> </w:t>
      </w:r>
      <w:r w:rsidR="0007783E">
        <w:t>habiendo excluido a</w:t>
      </w:r>
      <w:r w:rsidRPr="004836AF">
        <w:t xml:space="preserve"> los fumadores “fuertes” (más de 10 cigarrillos diarios). Por lo que la evidencia de </w:t>
      </w:r>
      <w:r w:rsidR="0007783E">
        <w:t>esta</w:t>
      </w:r>
      <w:r w:rsidRPr="004836AF">
        <w:t xml:space="preserve"> técnica no esta comprobada para este grupo importante de pacientes.</w:t>
      </w:r>
    </w:p>
    <w:p w14:paraId="74CE3E6C" w14:textId="3D4A9A70" w:rsidR="005E334C" w:rsidRPr="004836AF" w:rsidRDefault="00117609" w:rsidP="005221AF">
      <w:pPr>
        <w:spacing w:line="360" w:lineRule="auto"/>
        <w:ind w:right="1"/>
        <w:jc w:val="both"/>
      </w:pPr>
      <w:r w:rsidRPr="004836AF">
        <w:t xml:space="preserve">Debido a </w:t>
      </w:r>
      <w:r w:rsidR="0007783E">
        <w:t>la heterogeneidad de</w:t>
      </w:r>
      <w:r w:rsidRPr="004836AF">
        <w:t xml:space="preserve"> situaciones  </w:t>
      </w:r>
      <w:r w:rsidR="0007783E">
        <w:t xml:space="preserve">clínicas </w:t>
      </w:r>
      <w:r w:rsidRPr="004836AF">
        <w:t>que pueden presentarse en un AVR con ROG, la variedad de materiales</w:t>
      </w:r>
      <w:r w:rsidR="0007783E">
        <w:t xml:space="preserve">, </w:t>
      </w:r>
      <w:r w:rsidRPr="004836AF">
        <w:t>técnicas</w:t>
      </w:r>
      <w:r w:rsidR="0007783E">
        <w:t xml:space="preserve"> y la falta </w:t>
      </w:r>
      <w:r w:rsidRPr="004836AF">
        <w:t>de estudios en número y calidad</w:t>
      </w:r>
      <w:r w:rsidR="00A56A8E" w:rsidRPr="004836AF">
        <w:t>, no</w:t>
      </w:r>
      <w:r w:rsidRPr="004836AF">
        <w:t xml:space="preserve"> se ha </w:t>
      </w:r>
      <w:r w:rsidR="0007783E">
        <w:t>encontrado una técnica p</w:t>
      </w:r>
      <w:r w:rsidR="00D63699">
        <w:t>atrón de referencia</w:t>
      </w:r>
      <w:r w:rsidRPr="004836AF">
        <w:t xml:space="preserve">. De todas </w:t>
      </w:r>
      <w:r w:rsidR="00A56A8E" w:rsidRPr="004836AF">
        <w:t>formas,</w:t>
      </w:r>
      <w:r w:rsidRPr="004836AF">
        <w:t xml:space="preserve"> si se han podido  </w:t>
      </w:r>
      <w:r w:rsidR="0007783E">
        <w:t xml:space="preserve">rescatar </w:t>
      </w:r>
      <w:r w:rsidRPr="004836AF">
        <w:t xml:space="preserve"> lineamientos </w:t>
      </w:r>
      <w:r w:rsidR="0007783E">
        <w:t xml:space="preserve"> que pueden guiar al clínico </w:t>
      </w:r>
      <w:r w:rsidRPr="004836AF">
        <w:t>a</w:t>
      </w:r>
      <w:r w:rsidR="0007783E">
        <w:t xml:space="preserve"> seleccionar la técnica más adecuada</w:t>
      </w:r>
      <w:r w:rsidRPr="004836AF">
        <w:t>.</w:t>
      </w:r>
    </w:p>
    <w:p w14:paraId="273D9A8A" w14:textId="77777777" w:rsidR="005E334C" w:rsidRPr="004836AF" w:rsidRDefault="005E334C" w:rsidP="005221AF">
      <w:pPr>
        <w:spacing w:line="360" w:lineRule="auto"/>
        <w:ind w:right="1"/>
        <w:jc w:val="both"/>
      </w:pPr>
    </w:p>
    <w:p w14:paraId="015E69CB" w14:textId="77777777" w:rsidR="005E334C" w:rsidRPr="004836AF" w:rsidRDefault="00117609" w:rsidP="005221AF">
      <w:pPr>
        <w:spacing w:line="360" w:lineRule="auto"/>
        <w:ind w:right="1"/>
        <w:jc w:val="both"/>
      </w:pPr>
      <w:r w:rsidRPr="00706190">
        <w:rPr>
          <w:b/>
          <w:sz w:val="24"/>
          <w:szCs w:val="24"/>
        </w:rPr>
        <w:t>Conclusiones</w:t>
      </w:r>
      <w:r w:rsidRPr="004836AF">
        <w:t>:</w:t>
      </w:r>
    </w:p>
    <w:p w14:paraId="1E0D3311" w14:textId="5795755E" w:rsidR="005E334C" w:rsidRPr="004836AF" w:rsidRDefault="00117609" w:rsidP="005221AF">
      <w:pPr>
        <w:numPr>
          <w:ilvl w:val="0"/>
          <w:numId w:val="4"/>
        </w:numPr>
        <w:spacing w:line="360" w:lineRule="auto"/>
        <w:ind w:right="1"/>
        <w:jc w:val="both"/>
      </w:pPr>
      <w:r w:rsidRPr="004836AF">
        <w:t xml:space="preserve">El Aumento Vertical del Reborde con Regeneración Ósea Guiada es una técnica segura y predecible para su aplicación en </w:t>
      </w:r>
      <w:r w:rsidR="00963215">
        <w:t xml:space="preserve">sector posterior de una </w:t>
      </w:r>
      <w:r w:rsidRPr="004836AF">
        <w:t xml:space="preserve">mandíbula  </w:t>
      </w:r>
      <w:r w:rsidR="00963215">
        <w:t>atrófica.</w:t>
      </w:r>
    </w:p>
    <w:p w14:paraId="7B6CCDFE" w14:textId="48F80E09" w:rsidR="005E334C" w:rsidRPr="004836AF" w:rsidRDefault="00117609" w:rsidP="005221AF">
      <w:pPr>
        <w:numPr>
          <w:ilvl w:val="0"/>
          <w:numId w:val="4"/>
        </w:numPr>
        <w:spacing w:line="360" w:lineRule="auto"/>
        <w:ind w:right="1"/>
        <w:jc w:val="both"/>
      </w:pPr>
      <w:r w:rsidRPr="004836AF">
        <w:t xml:space="preserve">No existe evidencia científica que respalde una técnica </w:t>
      </w:r>
      <w:r w:rsidR="00D63699">
        <w:t>patrón de referencia</w:t>
      </w:r>
      <w:r w:rsidRPr="004836AF">
        <w:t xml:space="preserve">. Sin </w:t>
      </w:r>
      <w:r w:rsidR="00A56A8E" w:rsidRPr="004836AF">
        <w:t>embargo,</w:t>
      </w:r>
      <w:r w:rsidRPr="004836AF">
        <w:t xml:space="preserve"> por la mayor  liberación del colgajo lingual, menor </w:t>
      </w:r>
      <w:r w:rsidR="00A56A8E" w:rsidRPr="004836AF">
        <w:t>probabilidad</w:t>
      </w:r>
      <w:r w:rsidRPr="004836AF">
        <w:t xml:space="preserve"> </w:t>
      </w:r>
      <w:r w:rsidRPr="004836AF">
        <w:lastRenderedPageBreak/>
        <w:t>de daño a estructuras nobles y complicaciones</w:t>
      </w:r>
      <w:r w:rsidR="00862CC4">
        <w:t>,</w:t>
      </w:r>
      <w:r w:rsidRPr="004836AF">
        <w:t xml:space="preserve"> la técnica propuesta por I. </w:t>
      </w:r>
      <w:proofErr w:type="spellStart"/>
      <w:r w:rsidRPr="004836AF">
        <w:t>Urban</w:t>
      </w:r>
      <w:proofErr w:type="spellEnd"/>
      <w:r w:rsidR="00862CC4">
        <w:t xml:space="preserve"> en (2018)</w:t>
      </w:r>
      <w:r w:rsidRPr="004836AF">
        <w:t xml:space="preserve"> parece ser la más adecuada.</w:t>
      </w:r>
    </w:p>
    <w:p w14:paraId="1827852C" w14:textId="4473A926" w:rsidR="005E334C" w:rsidRPr="004836AF" w:rsidRDefault="00117609" w:rsidP="005221AF">
      <w:pPr>
        <w:numPr>
          <w:ilvl w:val="0"/>
          <w:numId w:val="4"/>
        </w:numPr>
        <w:spacing w:line="360" w:lineRule="auto"/>
        <w:ind w:right="1"/>
        <w:jc w:val="both"/>
      </w:pPr>
      <w:r w:rsidRPr="004836AF">
        <w:t xml:space="preserve">La literatura no concluye cual es el mejor material de relleno. En grandes </w:t>
      </w:r>
      <w:r w:rsidR="00A56A8E" w:rsidRPr="004836AF">
        <w:t>regen</w:t>
      </w:r>
      <w:r w:rsidR="00A56A8E">
        <w:t>era</w:t>
      </w:r>
      <w:r w:rsidR="00A56A8E" w:rsidRPr="004836AF">
        <w:t>ciones</w:t>
      </w:r>
      <w:r w:rsidRPr="004836AF">
        <w:t xml:space="preserve"> el uso de sustitutos como los aloinjertos o xenoinjertos mezclado con hueso autólogo podría ser la elección adecuada. De esta manera se evitarían las fuentes </w:t>
      </w:r>
      <w:r w:rsidR="00A56A8E" w:rsidRPr="004836AF">
        <w:t>extra orales</w:t>
      </w:r>
      <w:r w:rsidRPr="004836AF">
        <w:t xml:space="preserve">, con su consecuente </w:t>
      </w:r>
      <w:r w:rsidR="00A56A8E" w:rsidRPr="004836AF">
        <w:t>morbilidad, tomando</w:t>
      </w:r>
      <w:r w:rsidRPr="004836AF">
        <w:t xml:space="preserve"> ventaja de las propiedades </w:t>
      </w:r>
      <w:r w:rsidR="00A56A8E" w:rsidRPr="004836AF">
        <w:t>estructurales</w:t>
      </w:r>
      <w:r w:rsidRPr="004836AF">
        <w:t xml:space="preserve"> de uno y las biológicas del otro.</w:t>
      </w:r>
    </w:p>
    <w:p w14:paraId="3F2C9677" w14:textId="76654823" w:rsidR="005E334C" w:rsidRPr="004836AF" w:rsidRDefault="00117609" w:rsidP="005221AF">
      <w:pPr>
        <w:numPr>
          <w:ilvl w:val="0"/>
          <w:numId w:val="4"/>
        </w:numPr>
        <w:spacing w:line="360" w:lineRule="auto"/>
        <w:ind w:right="1"/>
        <w:jc w:val="both"/>
      </w:pPr>
      <w:r w:rsidRPr="004836AF">
        <w:t>Las membranas de PTFE-d tienen un mejor comportamiento frente a la exposición que las de PTFE-e, por lo que las primeras son las más adecuadas</w:t>
      </w:r>
      <w:r w:rsidR="00862CC4">
        <w:t xml:space="preserve"> para su uso.</w:t>
      </w:r>
    </w:p>
    <w:p w14:paraId="2C9536E3" w14:textId="77777777" w:rsidR="005E334C" w:rsidRPr="004836AF" w:rsidRDefault="00117609" w:rsidP="005221AF">
      <w:pPr>
        <w:numPr>
          <w:ilvl w:val="0"/>
          <w:numId w:val="4"/>
        </w:numPr>
        <w:spacing w:line="360" w:lineRule="auto"/>
        <w:ind w:right="1"/>
        <w:jc w:val="both"/>
      </w:pPr>
      <w:r w:rsidRPr="004836AF">
        <w:t xml:space="preserve">No hay evidencia científica que avale la selección de una membrana de PTFE con estructura frente a una malla o placa de titanio o viceversa. </w:t>
      </w:r>
    </w:p>
    <w:p w14:paraId="73676C44" w14:textId="5B5C8004" w:rsidR="005E334C" w:rsidRPr="004836AF" w:rsidRDefault="00862CC4" w:rsidP="005221AF">
      <w:pPr>
        <w:numPr>
          <w:ilvl w:val="0"/>
          <w:numId w:val="4"/>
        </w:numPr>
        <w:spacing w:line="360" w:lineRule="auto"/>
        <w:ind w:right="1"/>
        <w:jc w:val="both"/>
      </w:pPr>
      <w:r>
        <w:t>Parece ser</w:t>
      </w:r>
      <w:r w:rsidR="00117609" w:rsidRPr="004836AF">
        <w:t xml:space="preserve"> necesario una barrera con estructura para el AVR con ROG en grandes defectos.</w:t>
      </w:r>
    </w:p>
    <w:p w14:paraId="61B169AF" w14:textId="7E59DE94" w:rsidR="005E334C" w:rsidRPr="004836AF" w:rsidRDefault="00117609" w:rsidP="005221AF">
      <w:pPr>
        <w:numPr>
          <w:ilvl w:val="0"/>
          <w:numId w:val="4"/>
        </w:numPr>
        <w:spacing w:line="360" w:lineRule="auto"/>
        <w:ind w:right="1"/>
        <w:jc w:val="both"/>
      </w:pPr>
      <w:r w:rsidRPr="004836AF">
        <w:t xml:space="preserve">Los estudios no comparan la colocación del implante en etapas o  simultánea al AVR con ROG. La estrategia de  la colocación en etapas parece ser más </w:t>
      </w:r>
      <w:r w:rsidR="00862CC4">
        <w:t>ventajosa</w:t>
      </w:r>
      <w:r w:rsidRPr="004836AF">
        <w:t xml:space="preserve">. </w:t>
      </w:r>
    </w:p>
    <w:p w14:paraId="6E303783" w14:textId="3CDDC6AD" w:rsidR="005E334C" w:rsidRPr="004836AF" w:rsidRDefault="00117609" w:rsidP="005221AF">
      <w:pPr>
        <w:numPr>
          <w:ilvl w:val="0"/>
          <w:numId w:val="4"/>
        </w:numPr>
        <w:spacing w:line="360" w:lineRule="auto"/>
        <w:ind w:right="1"/>
        <w:jc w:val="both"/>
      </w:pPr>
      <w:r w:rsidRPr="004836AF">
        <w:t xml:space="preserve">Son necesarios futuros estudios clínicos controlados aleatorizados de AVR con ROG que comparen las distintas técnicas, rellenos, membranas y momento de colocación con </w:t>
      </w:r>
      <w:r w:rsidR="00862CC4">
        <w:t>seguimiento</w:t>
      </w:r>
      <w:r w:rsidRPr="004836AF">
        <w:t xml:space="preserve"> a largo plazo.</w:t>
      </w:r>
    </w:p>
    <w:p w14:paraId="4ACE8DBB" w14:textId="77777777" w:rsidR="005E334C" w:rsidRPr="004836AF" w:rsidRDefault="00117609" w:rsidP="005221AF">
      <w:pPr>
        <w:spacing w:line="360" w:lineRule="auto"/>
        <w:ind w:right="1"/>
        <w:jc w:val="both"/>
      </w:pPr>
      <w:r w:rsidRPr="004836AF">
        <w:t xml:space="preserve"> </w:t>
      </w:r>
    </w:p>
    <w:p w14:paraId="7120238F" w14:textId="77777777" w:rsidR="005E334C" w:rsidRPr="004836AF" w:rsidRDefault="005E334C" w:rsidP="005221AF">
      <w:pPr>
        <w:spacing w:line="360" w:lineRule="auto"/>
        <w:ind w:right="1"/>
        <w:jc w:val="both"/>
      </w:pPr>
    </w:p>
    <w:p w14:paraId="790122FA" w14:textId="143ECEC0" w:rsidR="005E334C" w:rsidRDefault="005E334C" w:rsidP="005221AF">
      <w:pPr>
        <w:spacing w:line="360" w:lineRule="auto"/>
        <w:ind w:right="1"/>
        <w:jc w:val="both"/>
      </w:pPr>
    </w:p>
    <w:p w14:paraId="488E639B" w14:textId="19901291" w:rsidR="00A56A8E" w:rsidRDefault="00A56A8E" w:rsidP="005221AF">
      <w:pPr>
        <w:spacing w:line="360" w:lineRule="auto"/>
        <w:ind w:right="1"/>
        <w:jc w:val="both"/>
      </w:pPr>
    </w:p>
    <w:p w14:paraId="472515AC" w14:textId="74BD4EE2" w:rsidR="00A56A8E" w:rsidRDefault="00A56A8E" w:rsidP="005221AF">
      <w:pPr>
        <w:spacing w:line="360" w:lineRule="auto"/>
        <w:ind w:right="1"/>
        <w:jc w:val="both"/>
      </w:pPr>
    </w:p>
    <w:p w14:paraId="1D88276B" w14:textId="0B5CFC55" w:rsidR="00A56A8E" w:rsidRDefault="00A56A8E" w:rsidP="005221AF">
      <w:pPr>
        <w:spacing w:line="360" w:lineRule="auto"/>
        <w:ind w:right="1"/>
        <w:jc w:val="both"/>
      </w:pPr>
    </w:p>
    <w:p w14:paraId="0948EECC" w14:textId="4DFDB823" w:rsidR="00A56A8E" w:rsidRDefault="00A56A8E" w:rsidP="005221AF">
      <w:pPr>
        <w:spacing w:line="360" w:lineRule="auto"/>
        <w:ind w:right="1"/>
        <w:jc w:val="both"/>
      </w:pPr>
    </w:p>
    <w:p w14:paraId="198E011E" w14:textId="77CD8CAC" w:rsidR="00A56A8E" w:rsidRDefault="00A56A8E" w:rsidP="005221AF">
      <w:pPr>
        <w:spacing w:line="360" w:lineRule="auto"/>
        <w:ind w:right="1"/>
        <w:jc w:val="both"/>
      </w:pPr>
    </w:p>
    <w:p w14:paraId="239AAC34" w14:textId="7FCD1B55" w:rsidR="00A56A8E" w:rsidRDefault="00A56A8E" w:rsidP="005221AF">
      <w:pPr>
        <w:spacing w:line="360" w:lineRule="auto"/>
        <w:ind w:right="1"/>
        <w:jc w:val="both"/>
      </w:pPr>
    </w:p>
    <w:p w14:paraId="7A9E80EA" w14:textId="2DC486B9" w:rsidR="00A56A8E" w:rsidRDefault="00A56A8E" w:rsidP="005221AF">
      <w:pPr>
        <w:spacing w:line="360" w:lineRule="auto"/>
        <w:ind w:right="1"/>
        <w:jc w:val="both"/>
      </w:pPr>
    </w:p>
    <w:p w14:paraId="67712878" w14:textId="7B2A6572" w:rsidR="00A56A8E" w:rsidRDefault="00A56A8E" w:rsidP="005221AF">
      <w:pPr>
        <w:spacing w:line="360" w:lineRule="auto"/>
        <w:ind w:right="1"/>
        <w:jc w:val="both"/>
      </w:pPr>
    </w:p>
    <w:p w14:paraId="2482CF29" w14:textId="49521E67" w:rsidR="00A56A8E" w:rsidRDefault="00A56A8E" w:rsidP="005221AF">
      <w:pPr>
        <w:spacing w:line="360" w:lineRule="auto"/>
        <w:ind w:right="1"/>
        <w:jc w:val="both"/>
      </w:pPr>
    </w:p>
    <w:p w14:paraId="6E652C55" w14:textId="3A62ADB1" w:rsidR="00A56A8E" w:rsidRDefault="00A56A8E" w:rsidP="005221AF">
      <w:pPr>
        <w:spacing w:line="360" w:lineRule="auto"/>
        <w:ind w:right="1"/>
        <w:jc w:val="both"/>
      </w:pPr>
    </w:p>
    <w:p w14:paraId="76AE4008" w14:textId="15DB5FDB" w:rsidR="00A56A8E" w:rsidRDefault="00A56A8E" w:rsidP="005221AF">
      <w:pPr>
        <w:spacing w:line="360" w:lineRule="auto"/>
        <w:ind w:right="1"/>
        <w:jc w:val="both"/>
      </w:pPr>
    </w:p>
    <w:p w14:paraId="1BF90C3C" w14:textId="3C570BB3" w:rsidR="00A56A8E" w:rsidRDefault="00A56A8E" w:rsidP="005221AF">
      <w:pPr>
        <w:spacing w:line="360" w:lineRule="auto"/>
        <w:ind w:right="1"/>
        <w:jc w:val="both"/>
      </w:pPr>
    </w:p>
    <w:p w14:paraId="7268AAD1" w14:textId="346DF722" w:rsidR="00A56A8E" w:rsidRDefault="00A56A8E" w:rsidP="005221AF">
      <w:pPr>
        <w:spacing w:line="360" w:lineRule="auto"/>
        <w:ind w:right="1"/>
        <w:jc w:val="both"/>
      </w:pPr>
    </w:p>
    <w:p w14:paraId="79AE99B5" w14:textId="3A4BA419" w:rsidR="00A56A8E" w:rsidRDefault="00A56A8E" w:rsidP="005221AF">
      <w:pPr>
        <w:spacing w:line="360" w:lineRule="auto"/>
        <w:ind w:right="1"/>
        <w:jc w:val="both"/>
      </w:pPr>
    </w:p>
    <w:p w14:paraId="02E329EE" w14:textId="5FCC3094" w:rsidR="00A56A8E" w:rsidRDefault="00A56A8E" w:rsidP="005221AF">
      <w:pPr>
        <w:spacing w:line="360" w:lineRule="auto"/>
        <w:ind w:right="1"/>
        <w:jc w:val="both"/>
      </w:pPr>
    </w:p>
    <w:p w14:paraId="3770828C" w14:textId="724D0B19" w:rsidR="00A56A8E" w:rsidRDefault="00A56A8E" w:rsidP="005221AF">
      <w:pPr>
        <w:spacing w:line="360" w:lineRule="auto"/>
        <w:ind w:right="1"/>
        <w:jc w:val="both"/>
      </w:pPr>
    </w:p>
    <w:p w14:paraId="10AFC0E9" w14:textId="418863D1" w:rsidR="00A56A8E" w:rsidRDefault="00A56A8E" w:rsidP="005221AF">
      <w:pPr>
        <w:spacing w:line="360" w:lineRule="auto"/>
        <w:ind w:right="1"/>
        <w:jc w:val="both"/>
      </w:pPr>
    </w:p>
    <w:p w14:paraId="286A131B" w14:textId="086BC5E8" w:rsidR="00A56A8E" w:rsidRDefault="00A56A8E" w:rsidP="005221AF">
      <w:pPr>
        <w:spacing w:line="360" w:lineRule="auto"/>
        <w:ind w:right="1"/>
        <w:jc w:val="both"/>
      </w:pPr>
    </w:p>
    <w:p w14:paraId="2994199E" w14:textId="31A78F0D" w:rsidR="00A56A8E" w:rsidRDefault="00A56A8E" w:rsidP="005221AF">
      <w:pPr>
        <w:spacing w:line="360" w:lineRule="auto"/>
        <w:ind w:right="1"/>
        <w:jc w:val="both"/>
      </w:pPr>
    </w:p>
    <w:p w14:paraId="0427B899" w14:textId="02E17504" w:rsidR="00A56A8E" w:rsidRDefault="00A56A8E" w:rsidP="005221AF">
      <w:pPr>
        <w:spacing w:line="360" w:lineRule="auto"/>
        <w:ind w:right="1"/>
        <w:jc w:val="both"/>
      </w:pPr>
    </w:p>
    <w:p w14:paraId="1E52CD1B" w14:textId="6993568E" w:rsidR="00A56A8E" w:rsidRDefault="00A56A8E" w:rsidP="005221AF">
      <w:pPr>
        <w:spacing w:line="360" w:lineRule="auto"/>
        <w:ind w:right="1"/>
        <w:jc w:val="both"/>
      </w:pPr>
    </w:p>
    <w:p w14:paraId="546C7CF2" w14:textId="61023750" w:rsidR="00A56A8E" w:rsidRDefault="00A56A8E" w:rsidP="005221AF">
      <w:pPr>
        <w:spacing w:line="360" w:lineRule="auto"/>
        <w:ind w:right="1"/>
        <w:jc w:val="both"/>
      </w:pPr>
    </w:p>
    <w:p w14:paraId="2D10EB61" w14:textId="7D22B09E" w:rsidR="00A56A8E" w:rsidRDefault="00A56A8E" w:rsidP="005221AF">
      <w:pPr>
        <w:spacing w:line="360" w:lineRule="auto"/>
        <w:ind w:right="1"/>
        <w:jc w:val="both"/>
      </w:pPr>
    </w:p>
    <w:p w14:paraId="36DE8912" w14:textId="123D5221" w:rsidR="00A56A8E" w:rsidRDefault="00A56A8E" w:rsidP="005221AF">
      <w:pPr>
        <w:spacing w:line="360" w:lineRule="auto"/>
        <w:ind w:right="1"/>
        <w:jc w:val="both"/>
      </w:pPr>
    </w:p>
    <w:p w14:paraId="5584869E" w14:textId="582D31F1" w:rsidR="00A56A8E" w:rsidRDefault="00A56A8E" w:rsidP="005221AF">
      <w:pPr>
        <w:spacing w:line="360" w:lineRule="auto"/>
        <w:ind w:right="1"/>
        <w:jc w:val="both"/>
      </w:pPr>
    </w:p>
    <w:p w14:paraId="58E1BC85" w14:textId="670A2F94" w:rsidR="00A56A8E" w:rsidRDefault="00A56A8E" w:rsidP="005221AF">
      <w:pPr>
        <w:spacing w:line="360" w:lineRule="auto"/>
        <w:ind w:right="1"/>
        <w:jc w:val="both"/>
      </w:pPr>
    </w:p>
    <w:p w14:paraId="0CD024E0" w14:textId="28234C44" w:rsidR="00A56A8E" w:rsidRDefault="00A56A8E" w:rsidP="005221AF">
      <w:pPr>
        <w:spacing w:line="360" w:lineRule="auto"/>
        <w:ind w:right="1"/>
        <w:jc w:val="both"/>
      </w:pPr>
    </w:p>
    <w:p w14:paraId="6D318A97" w14:textId="77EEFE8B" w:rsidR="00A56A8E" w:rsidRPr="00D63699" w:rsidRDefault="00A56A8E" w:rsidP="005221AF">
      <w:pPr>
        <w:spacing w:line="360" w:lineRule="auto"/>
        <w:ind w:right="1"/>
        <w:jc w:val="both"/>
        <w:rPr>
          <w:b/>
          <w:sz w:val="24"/>
          <w:szCs w:val="24"/>
          <w:lang w:val="en-US"/>
        </w:rPr>
      </w:pPr>
      <w:r w:rsidRPr="00D63699">
        <w:rPr>
          <w:b/>
          <w:sz w:val="24"/>
          <w:szCs w:val="24"/>
          <w:lang w:val="en-US"/>
        </w:rPr>
        <w:t>6</w:t>
      </w:r>
      <w:r w:rsidR="00B2340A" w:rsidRPr="00D63699">
        <w:rPr>
          <w:b/>
          <w:sz w:val="24"/>
          <w:szCs w:val="24"/>
          <w:lang w:val="en-US"/>
        </w:rPr>
        <w:t>.</w:t>
      </w:r>
      <w:r w:rsidRPr="00D63699">
        <w:rPr>
          <w:b/>
          <w:sz w:val="24"/>
          <w:szCs w:val="24"/>
          <w:lang w:val="en-US"/>
        </w:rPr>
        <w:t xml:space="preserve"> </w:t>
      </w:r>
      <w:proofErr w:type="spellStart"/>
      <w:r w:rsidR="00B2340A" w:rsidRPr="00D63699">
        <w:rPr>
          <w:b/>
          <w:sz w:val="24"/>
          <w:szCs w:val="24"/>
          <w:lang w:val="en-US"/>
        </w:rPr>
        <w:t>B</w:t>
      </w:r>
      <w:r w:rsidRPr="00D63699">
        <w:rPr>
          <w:b/>
          <w:sz w:val="24"/>
          <w:szCs w:val="24"/>
          <w:lang w:val="en-US"/>
        </w:rPr>
        <w:t>ibliografía</w:t>
      </w:r>
      <w:proofErr w:type="spellEnd"/>
    </w:p>
    <w:p w14:paraId="05E1A5DF" w14:textId="3CA5188E" w:rsidR="00A56A8E" w:rsidRPr="0052730A" w:rsidRDefault="00A56A8E" w:rsidP="005221AF">
      <w:pPr>
        <w:spacing w:line="360" w:lineRule="auto"/>
        <w:ind w:right="1"/>
        <w:jc w:val="both"/>
        <w:rPr>
          <w:lang w:val="en-US"/>
        </w:rPr>
      </w:pPr>
    </w:p>
    <w:p w14:paraId="24ABD070" w14:textId="6E680BC9" w:rsidR="00A56A8E" w:rsidRPr="0052730A" w:rsidRDefault="00A56A8E" w:rsidP="005221AF">
      <w:pPr>
        <w:spacing w:line="360" w:lineRule="auto"/>
        <w:ind w:right="1"/>
        <w:jc w:val="both"/>
        <w:rPr>
          <w:lang w:val="en-US"/>
        </w:rPr>
      </w:pPr>
    </w:p>
    <w:p w14:paraId="28991994" w14:textId="14770A7A" w:rsidR="00A56A8E" w:rsidRPr="0052730A" w:rsidRDefault="00A56A8E" w:rsidP="005221AF">
      <w:pPr>
        <w:spacing w:line="360" w:lineRule="auto"/>
        <w:ind w:right="1"/>
        <w:jc w:val="both"/>
        <w:rPr>
          <w:lang w:val="en-US"/>
        </w:rPr>
      </w:pPr>
    </w:p>
    <w:p w14:paraId="35D99747" w14:textId="77777777" w:rsidR="00A56A8E" w:rsidRPr="0052730A" w:rsidRDefault="00A56A8E" w:rsidP="005221AF">
      <w:pPr>
        <w:spacing w:line="360" w:lineRule="auto"/>
        <w:ind w:right="1"/>
        <w:jc w:val="both"/>
        <w:rPr>
          <w:lang w:val="en-US"/>
        </w:rPr>
      </w:pPr>
    </w:p>
    <w:p w14:paraId="20395997" w14:textId="45C08BB4" w:rsidR="00D21A68" w:rsidRPr="0052730A" w:rsidRDefault="001F34DB" w:rsidP="00D21A68">
      <w:pPr>
        <w:widowControl w:val="0"/>
        <w:autoSpaceDE w:val="0"/>
        <w:autoSpaceDN w:val="0"/>
        <w:adjustRightInd w:val="0"/>
        <w:spacing w:line="360" w:lineRule="auto"/>
        <w:ind w:left="640" w:hanging="640"/>
        <w:rPr>
          <w:noProof/>
          <w:lang w:val="en-US"/>
        </w:rPr>
      </w:pPr>
      <w:r>
        <w:fldChar w:fldCharType="begin" w:fldLock="1"/>
      </w:r>
      <w:r w:rsidRPr="0052730A">
        <w:rPr>
          <w:lang w:val="en-US"/>
        </w:rPr>
        <w:instrText xml:space="preserve">ADDIN Mendeley Bibliography CSL_BIBLIOGRAPHY </w:instrText>
      </w:r>
      <w:r>
        <w:fldChar w:fldCharType="separate"/>
      </w:r>
      <w:r w:rsidR="00D21A68" w:rsidRPr="0052730A">
        <w:rPr>
          <w:noProof/>
          <w:lang w:val="en-US"/>
        </w:rPr>
        <w:t xml:space="preserve">1. </w:t>
      </w:r>
      <w:r w:rsidR="00D21A68" w:rsidRPr="0052730A">
        <w:rPr>
          <w:noProof/>
          <w:lang w:val="en-US"/>
        </w:rPr>
        <w:tab/>
        <w:t xml:space="preserve">Rocchietta I, Fontana F, Simion M. Clinical outcomes of vertical bone augmentation to enable dental implant placement: A systematic review. In: Journal of Clinical Periodontology. 2008. </w:t>
      </w:r>
    </w:p>
    <w:p w14:paraId="532EB41F" w14:textId="77777777" w:rsidR="00D21A68" w:rsidRPr="00D21A68" w:rsidRDefault="00D21A68" w:rsidP="00D21A68">
      <w:pPr>
        <w:widowControl w:val="0"/>
        <w:autoSpaceDE w:val="0"/>
        <w:autoSpaceDN w:val="0"/>
        <w:adjustRightInd w:val="0"/>
        <w:spacing w:line="360" w:lineRule="auto"/>
        <w:ind w:left="640" w:hanging="640"/>
        <w:rPr>
          <w:noProof/>
          <w:lang w:val="es-ES_tradnl"/>
        </w:rPr>
      </w:pPr>
      <w:r w:rsidRPr="0052730A">
        <w:rPr>
          <w:noProof/>
          <w:lang w:val="en-US"/>
        </w:rPr>
        <w:t xml:space="preserve">2. </w:t>
      </w:r>
      <w:r w:rsidRPr="0052730A">
        <w:rPr>
          <w:noProof/>
          <w:lang w:val="en-US"/>
        </w:rPr>
        <w:tab/>
        <w:t xml:space="preserve">Barone A, Orlando B, Cingano L, Marconcini S, Derchi G, Covani U. A Randomized Clinical Trial to Evaluate and Compare Implants Placed in Augmented Versus Non-Augmented Extraction Sockets: 3-Year Results. </w:t>
      </w:r>
      <w:r w:rsidRPr="00D21A68">
        <w:rPr>
          <w:noProof/>
          <w:lang w:val="es-ES_tradnl"/>
        </w:rPr>
        <w:t xml:space="preserve">J Periodontol. 2012;83(7):836–46. </w:t>
      </w:r>
    </w:p>
    <w:p w14:paraId="41C0E0EE"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D21A68">
        <w:rPr>
          <w:noProof/>
          <w:lang w:val="es-ES_tradnl"/>
        </w:rPr>
        <w:t xml:space="preserve">3. </w:t>
      </w:r>
      <w:r w:rsidRPr="00D21A68">
        <w:rPr>
          <w:noProof/>
          <w:lang w:val="es-ES_tradnl"/>
        </w:rPr>
        <w:tab/>
        <w:t xml:space="preserve">Van Der Weijden F, Dell’Acqua F, Slot DE. </w:t>
      </w:r>
      <w:r w:rsidRPr="0052730A">
        <w:rPr>
          <w:noProof/>
          <w:lang w:val="en-US"/>
        </w:rPr>
        <w:t xml:space="preserve">Alveolar bone dimensional changes of post-extraction sockets in humans: A systematic review. J Clin Periodontol. 2009;36(12):1048–58. </w:t>
      </w:r>
    </w:p>
    <w:p w14:paraId="1F81D1DF"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 </w:t>
      </w:r>
      <w:r w:rsidRPr="0052730A">
        <w:rPr>
          <w:noProof/>
          <w:lang w:val="en-US"/>
        </w:rPr>
        <w:tab/>
        <w:t xml:space="preserve">Tan WL, Wong TLT, Wong MCM, Lang NP. A systematic review of post-extractional alveolar hard and soft tissue dimensional changes in humans. Clin Oral Implants Res. 2012;23(SUPPL. 5):1–21. </w:t>
      </w:r>
    </w:p>
    <w:p w14:paraId="525D0F75" w14:textId="77777777" w:rsidR="00D21A68" w:rsidRPr="00D21A68" w:rsidRDefault="00D21A68" w:rsidP="00D21A68">
      <w:pPr>
        <w:widowControl w:val="0"/>
        <w:autoSpaceDE w:val="0"/>
        <w:autoSpaceDN w:val="0"/>
        <w:adjustRightInd w:val="0"/>
        <w:spacing w:line="360" w:lineRule="auto"/>
        <w:ind w:left="640" w:hanging="640"/>
        <w:rPr>
          <w:noProof/>
          <w:lang w:val="es-ES_tradnl"/>
        </w:rPr>
      </w:pPr>
      <w:r w:rsidRPr="0052730A">
        <w:rPr>
          <w:noProof/>
          <w:lang w:val="en-US"/>
        </w:rPr>
        <w:t xml:space="preserve">5. </w:t>
      </w:r>
      <w:r w:rsidRPr="0052730A">
        <w:rPr>
          <w:noProof/>
          <w:lang w:val="en-US"/>
        </w:rPr>
        <w:tab/>
        <w:t xml:space="preserve">Bertl K, Subotic M, Heimel P, Schwarze UY, Tangl S, Ulm C. Morphometric characteristics of cortical and trabecular bone in atrophic edentulous mandibles. </w:t>
      </w:r>
      <w:r w:rsidRPr="00D21A68">
        <w:rPr>
          <w:noProof/>
          <w:lang w:val="es-ES_tradnl"/>
        </w:rPr>
        <w:t xml:space="preserve">Clin Oral Implants Res. 2015;26(7):780–7. </w:t>
      </w:r>
    </w:p>
    <w:p w14:paraId="5726E53A"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D21A68">
        <w:rPr>
          <w:noProof/>
          <w:lang w:val="es-ES_tradnl"/>
        </w:rPr>
        <w:t xml:space="preserve">6. </w:t>
      </w:r>
      <w:r w:rsidRPr="00D21A68">
        <w:rPr>
          <w:noProof/>
          <w:lang w:val="es-ES_tradnl"/>
        </w:rPr>
        <w:tab/>
        <w:t xml:space="preserve">Calvo-Guirado JL, López Torres JA, Dard M, Javed F, Pérez-Albacete Martínez C, Maté Sánchez de Val JE. </w:t>
      </w:r>
      <w:r w:rsidRPr="0052730A">
        <w:rPr>
          <w:noProof/>
          <w:lang w:val="en-US"/>
        </w:rPr>
        <w:t xml:space="preserve">Evaluation of extrashort 4-mm implants </w:t>
      </w:r>
      <w:r w:rsidRPr="0052730A">
        <w:rPr>
          <w:noProof/>
          <w:lang w:val="en-US"/>
        </w:rPr>
        <w:lastRenderedPageBreak/>
        <w:t xml:space="preserve">in mandibular edentulous patients with reduced bone height in comparison with standard implants: a 12-month results. Clin Oral Implants Res. 2016; </w:t>
      </w:r>
    </w:p>
    <w:p w14:paraId="0A34C73A"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7. </w:t>
      </w:r>
      <w:r w:rsidRPr="0052730A">
        <w:rPr>
          <w:noProof/>
          <w:lang w:val="en-US"/>
        </w:rPr>
        <w:tab/>
        <w:t xml:space="preserve">das Neves FD, Fones D, Bernardes SR, do Prado CJ, Neto AJ. Short implants—an analysis of longitudinal studies. J Prosthet Dent. 2006; </w:t>
      </w:r>
    </w:p>
    <w:p w14:paraId="25CBB7CA" w14:textId="661F6A0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8. </w:t>
      </w:r>
      <w:r w:rsidRPr="0052730A">
        <w:rPr>
          <w:noProof/>
          <w:lang w:val="en-US"/>
        </w:rPr>
        <w:tab/>
        <w:t>Esposito M, Barausse C, Pistilli R, Piattelli M, Di Simone S, Ippolito DR, et al. Posterior atrophic jaws rehabilitated with prostheses supported by 5 × 5 mm implants with a nanostructured calcium-incorporated titanium surface or by longer implants in augmented bone. Five-year results from a randomised controlled trial. Int J oral Implantol. 2019;12(1):39–54.</w:t>
      </w:r>
    </w:p>
    <w:p w14:paraId="1356914F" w14:textId="0160FA4A" w:rsidR="00D21A68" w:rsidRPr="00D21A68" w:rsidRDefault="00D21A68" w:rsidP="00D21A68">
      <w:pPr>
        <w:widowControl w:val="0"/>
        <w:autoSpaceDE w:val="0"/>
        <w:autoSpaceDN w:val="0"/>
        <w:adjustRightInd w:val="0"/>
        <w:spacing w:line="360" w:lineRule="auto"/>
        <w:ind w:left="640" w:hanging="640"/>
        <w:rPr>
          <w:noProof/>
          <w:lang w:val="es-ES_tradnl"/>
        </w:rPr>
      </w:pPr>
      <w:r w:rsidRPr="0052730A">
        <w:rPr>
          <w:noProof/>
          <w:lang w:val="en-US"/>
        </w:rPr>
        <w:t xml:space="preserve">9. </w:t>
      </w:r>
      <w:r w:rsidRPr="0052730A">
        <w:rPr>
          <w:noProof/>
          <w:lang w:val="en-US"/>
        </w:rPr>
        <w:tab/>
        <w:t xml:space="preserve">Felice P, Barausse C, Pistilli R, Ippolito DR, Esposito M. Short implants versus longer implants in vertically augmented posterior mandibles: result at 8 years after loading from a randomised controlled trial. </w:t>
      </w:r>
      <w:r w:rsidRPr="00D21A68">
        <w:rPr>
          <w:noProof/>
          <w:lang w:val="es-ES_tradnl"/>
        </w:rPr>
        <w:t xml:space="preserve">Eur J Oral Implantol. 2018;11(4):385–95. </w:t>
      </w:r>
    </w:p>
    <w:p w14:paraId="7B113DC4" w14:textId="77777777" w:rsidR="00D21A68" w:rsidRPr="00D21A68" w:rsidRDefault="00D21A68" w:rsidP="00D21A68">
      <w:pPr>
        <w:widowControl w:val="0"/>
        <w:autoSpaceDE w:val="0"/>
        <w:autoSpaceDN w:val="0"/>
        <w:adjustRightInd w:val="0"/>
        <w:spacing w:line="360" w:lineRule="auto"/>
        <w:ind w:left="640" w:hanging="640"/>
        <w:rPr>
          <w:noProof/>
          <w:lang w:val="es-ES_tradnl"/>
        </w:rPr>
      </w:pPr>
      <w:r w:rsidRPr="00D21A68">
        <w:rPr>
          <w:noProof/>
          <w:lang w:val="es-ES_tradnl"/>
        </w:rPr>
        <w:t xml:space="preserve">10. </w:t>
      </w:r>
      <w:r w:rsidRPr="00D21A68">
        <w:rPr>
          <w:noProof/>
          <w:lang w:val="es-ES_tradnl"/>
        </w:rPr>
        <w:tab/>
        <w:t xml:space="preserve">Omran MTA, Miley DD, McLeod DE, Garcia MN. </w:t>
      </w:r>
      <w:r w:rsidRPr="0052730A">
        <w:rPr>
          <w:noProof/>
          <w:lang w:val="en-US"/>
        </w:rPr>
        <w:t xml:space="preserve">Retrospective assessment of survival rate for short endosseous dental implants. </w:t>
      </w:r>
      <w:r w:rsidRPr="00D21A68">
        <w:rPr>
          <w:noProof/>
          <w:lang w:val="es-ES_tradnl"/>
        </w:rPr>
        <w:t xml:space="preserve">Implant Dent. 2015; </w:t>
      </w:r>
    </w:p>
    <w:p w14:paraId="5F7B7FA3"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D21A68">
        <w:rPr>
          <w:noProof/>
          <w:lang w:val="es-ES_tradnl"/>
        </w:rPr>
        <w:t xml:space="preserve">11. </w:t>
      </w:r>
      <w:r w:rsidRPr="00D21A68">
        <w:rPr>
          <w:noProof/>
          <w:lang w:val="es-ES_tradnl"/>
        </w:rPr>
        <w:tab/>
        <w:t xml:space="preserve">Queiroz TP, Aguiar SC, Margonar R, de Souza Faloni AP, Gruber R, Luvizuto ER. </w:t>
      </w:r>
      <w:r w:rsidRPr="0052730A">
        <w:rPr>
          <w:noProof/>
          <w:lang w:val="en-US"/>
        </w:rPr>
        <w:t xml:space="preserve">Clinical study on survival rate of short implants placed in the posterior mandibular region: Resonance frequency analysis. Clin Oral Implants Res. 2015;26(9):1036–42. </w:t>
      </w:r>
    </w:p>
    <w:p w14:paraId="1FDC7EBD"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12. </w:t>
      </w:r>
      <w:r w:rsidRPr="0052730A">
        <w:rPr>
          <w:noProof/>
          <w:lang w:val="en-US"/>
        </w:rPr>
        <w:tab/>
        <w:t xml:space="preserve">Amorfini L, Migliorati M, Signori A, Silvestrini-Biavati A, Benedicenti S. Block Allograft Technique versus Standard Guided Bone Regeneration: A Randomized Clinical Trial. Clin Implant Dent Relat Res. 2014;16(5):655–67. </w:t>
      </w:r>
    </w:p>
    <w:p w14:paraId="68F6C910"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13. </w:t>
      </w:r>
      <w:r w:rsidRPr="0052730A">
        <w:rPr>
          <w:noProof/>
          <w:lang w:val="en-US"/>
        </w:rPr>
        <w:tab/>
        <w:t xml:space="preserve">Salvi GE, Monje A, Tomasi C. Long-term biological complications of dental implants placed either in pristine or in augmented sites: A systematic review and meta-analysis. Clin Oral Implants Res. 2018;29(December 2017):294–310. </w:t>
      </w:r>
    </w:p>
    <w:p w14:paraId="5E8C51B0" w14:textId="129B49C4"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14. </w:t>
      </w:r>
      <w:r w:rsidRPr="0052730A">
        <w:rPr>
          <w:noProof/>
          <w:lang w:val="en-US"/>
        </w:rPr>
        <w:tab/>
        <w:t xml:space="preserve">Toti P, Marchionni S, Menchini-Fabris GB, Marconcini S, Covani U, Barone A. Surgical techniques used in the rehabilitation of partially edentulous patients with atrophic posterior mandibles: A systematic review and meta-analysis of randomized controlled clinical trials. J Cranio-Maxillofacial Surg. 2017;45(8):1236–45. </w:t>
      </w:r>
    </w:p>
    <w:p w14:paraId="4826B5D6"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15. </w:t>
      </w:r>
      <w:r w:rsidRPr="0052730A">
        <w:rPr>
          <w:noProof/>
          <w:lang w:val="en-US"/>
        </w:rPr>
        <w:tab/>
        <w:t xml:space="preserve">Wang HL, Boyapati L. “pASS” principles for predictable bone regeneration. Implant Dent. 2006;15(1):8–17. </w:t>
      </w:r>
    </w:p>
    <w:p w14:paraId="101AB7F9"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16. </w:t>
      </w:r>
      <w:r w:rsidRPr="0052730A">
        <w:rPr>
          <w:noProof/>
          <w:lang w:val="en-US"/>
        </w:rPr>
        <w:tab/>
        <w:t xml:space="preserve">Urban I, Monje A, Lozada J, Wang H-L. Principles for Vertical Ridge Augmentation in the Atrophic Posterior Mandible: A Technical Review. Int J Periodontics Restorative Dent. 2017 Aug 16;37(5):639–45. </w:t>
      </w:r>
    </w:p>
    <w:p w14:paraId="6C108E24"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17. </w:t>
      </w:r>
      <w:r w:rsidRPr="0052730A">
        <w:rPr>
          <w:noProof/>
          <w:lang w:val="en-US"/>
        </w:rPr>
        <w:tab/>
        <w:t xml:space="preserve">Urban IA, Montero E, Monje A, Sanz-Sánchez I. Effectiveness of vertical </w:t>
      </w:r>
      <w:r w:rsidRPr="0052730A">
        <w:rPr>
          <w:noProof/>
          <w:lang w:val="en-US"/>
        </w:rPr>
        <w:lastRenderedPageBreak/>
        <w:t xml:space="preserve">ridge augmentation interventions: A systematic review and meta-analysis. J Clin Periodontol. 2019;46(S21):319–39. </w:t>
      </w:r>
    </w:p>
    <w:p w14:paraId="5229EE3E"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18. </w:t>
      </w:r>
      <w:r w:rsidRPr="0052730A">
        <w:rPr>
          <w:noProof/>
          <w:lang w:val="en-US"/>
        </w:rPr>
        <w:tab/>
        <w:t xml:space="preserve">Milinkovic I, Cordaro L. Are there specific indications for the different alveolar bone augmentation procedures for implant placement? A systematic review. Vol. 43, International Journal of Oral and Maxillofacial Surgery. Churchill Livingstone; 2014. p. 606–25. </w:t>
      </w:r>
    </w:p>
    <w:p w14:paraId="2DA5A168"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19. </w:t>
      </w:r>
      <w:r w:rsidRPr="0052730A">
        <w:rPr>
          <w:noProof/>
          <w:lang w:val="en-US"/>
        </w:rPr>
        <w:tab/>
        <w:t xml:space="preserve">Elnayef B, Monje A, Albiol G, Galindo-Moreno P, Wang H-L, Hernández-Alfaro F. Vertical Ridge Augmentation in the Atrophic Mandible: A Systematic Review and Meta-Analysis. Int J Oral Maxillofac Implants. 2017 Mar 14;32(2):291–312. </w:t>
      </w:r>
    </w:p>
    <w:p w14:paraId="462DE74D"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20. </w:t>
      </w:r>
      <w:r w:rsidRPr="0052730A">
        <w:rPr>
          <w:noProof/>
          <w:lang w:val="en-US"/>
        </w:rPr>
        <w:tab/>
        <w:t xml:space="preserve">Maryam Farzad DDS1, Mohammad Mohammadi DDS Ms. Guided bone regeneration: A literature review. J Oral Heal Oral Epidemiol. 2012;1(1):3–18. </w:t>
      </w:r>
    </w:p>
    <w:p w14:paraId="6A0F4A9D"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21. </w:t>
      </w:r>
      <w:r w:rsidRPr="0052730A">
        <w:rPr>
          <w:noProof/>
          <w:lang w:val="en-US"/>
        </w:rPr>
        <w:tab/>
        <w:t xml:space="preserve">Burkhardt R, Lang NP. Role of flap tension in primary wound closure of mucoperiosteal flaps: A prospective cohort study. Clin Oral Implants Res. 2010;21(1):50–4. </w:t>
      </w:r>
    </w:p>
    <w:p w14:paraId="67AE5A79" w14:textId="7FF27D18"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22. </w:t>
      </w:r>
      <w:r w:rsidRPr="0052730A">
        <w:rPr>
          <w:noProof/>
          <w:lang w:val="en-US"/>
        </w:rPr>
        <w:tab/>
        <w:t>Buser D, Dula K, Belser U, Hirt HP, Berthold H. Localized ridge augmentation using guided bone regeneration. 1. Surgical procedure in the maxilla. Int J Periodontics Restorative Dent . 1993;13(1):29–45.</w:t>
      </w:r>
    </w:p>
    <w:p w14:paraId="26D1D450"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23. </w:t>
      </w:r>
      <w:r w:rsidRPr="0052730A">
        <w:rPr>
          <w:noProof/>
          <w:lang w:val="en-US"/>
        </w:rPr>
        <w:tab/>
        <w:t xml:space="preserve">Crea A, Deli G, Littarru C, Lajolo C, Orgeas GV, Tatakis DN. Intrabony Defects, Open-Flap Debridement, and Decortication: A Randomized Clinical Trial. J Periodontol. 2014;85(1):34–42. </w:t>
      </w:r>
    </w:p>
    <w:p w14:paraId="5ACABA4E"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24. </w:t>
      </w:r>
      <w:r w:rsidRPr="0052730A">
        <w:rPr>
          <w:noProof/>
          <w:lang w:val="en-US"/>
        </w:rPr>
        <w:tab/>
        <w:t xml:space="preserve">Sheikh Z, Sima C, Glogauer M. Bone replacement materials and techniques used for achieving vertical alveolar bone augmentation. Materials (Basel). 2015;8(6):2953–93. </w:t>
      </w:r>
    </w:p>
    <w:p w14:paraId="2E5A39D9" w14:textId="49820BA4" w:rsidR="00D21A68" w:rsidRPr="00D21A68"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25. </w:t>
      </w:r>
      <w:r w:rsidRPr="0052730A">
        <w:rPr>
          <w:noProof/>
          <w:lang w:val="en-US"/>
        </w:rPr>
        <w:tab/>
        <w:t xml:space="preserve">Liu J, Kerns DG. Mechanisms of Guided Bone Regeneration: A Review. Open Dent J . 2014;8(1):56–65. </w:t>
      </w:r>
    </w:p>
    <w:p w14:paraId="566A08CE"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26. </w:t>
      </w:r>
      <w:r w:rsidRPr="0052730A">
        <w:rPr>
          <w:noProof/>
          <w:lang w:val="en-US"/>
        </w:rPr>
        <w:tab/>
        <w:t xml:space="preserve">Urban IA, Nagursky H, Lozada JL, Nagy K. Horizontal Ridge Augmentation with a Collagen Membrane and a Combination of Particulated Autogenous Bone and Anorganic Bovine Bone–Derived Mineral: A Prospective Case Series in 25 Patients. Int J Periodontics Restor Dent. 2013;33(3):299–307. </w:t>
      </w:r>
    </w:p>
    <w:p w14:paraId="3CE0B1E9" w14:textId="3F58C4B8"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27. </w:t>
      </w:r>
      <w:r w:rsidRPr="0052730A">
        <w:rPr>
          <w:noProof/>
          <w:lang w:val="en-US"/>
        </w:rPr>
        <w:tab/>
        <w:t xml:space="preserve">Rakhmatia YD, Ayukawa Y, Furuhashi A, Koyano K. Current barrier membranes: Titanium mesh and other membranes for guided bone regeneration in dental applications. J Prosthodont Res. 2013;57(1):3–14. </w:t>
      </w:r>
    </w:p>
    <w:p w14:paraId="131600C7"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28. </w:t>
      </w:r>
      <w:r w:rsidRPr="0052730A">
        <w:rPr>
          <w:noProof/>
          <w:lang w:val="en-US"/>
        </w:rPr>
        <w:tab/>
        <w:t xml:space="preserve">Jiménez Garcia J, Berghezan S, Caramês JMM, Dard MM, Marques DNS. Effect of cross-linked vs non-cross-linked collagen membranes on bone: A systematic review. J Periodontal Res. 2017;52(6):955–64. </w:t>
      </w:r>
    </w:p>
    <w:p w14:paraId="4E28908F"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29. </w:t>
      </w:r>
      <w:r w:rsidRPr="0052730A">
        <w:rPr>
          <w:noProof/>
          <w:lang w:val="en-US"/>
        </w:rPr>
        <w:tab/>
        <w:t xml:space="preserve">Urban I, Monje A, Wang H-L, Lozada J, Gerber G, Baksa G. Mandibular </w:t>
      </w:r>
      <w:r w:rsidRPr="0052730A">
        <w:rPr>
          <w:noProof/>
          <w:lang w:val="en-US"/>
        </w:rPr>
        <w:lastRenderedPageBreak/>
        <w:t xml:space="preserve">Regional Anatomical Landmarks and Clinical Implications for Ridge Augmentation. Int J Periodontics Restorative Dent. 2017;37(3):347–53. </w:t>
      </w:r>
    </w:p>
    <w:p w14:paraId="053E959F" w14:textId="39A73744" w:rsidR="00D21A68" w:rsidRPr="00D21A68"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30. </w:t>
      </w:r>
      <w:r w:rsidRPr="0052730A">
        <w:rPr>
          <w:noProof/>
          <w:lang w:val="en-US"/>
        </w:rPr>
        <w:tab/>
        <w:t xml:space="preserve">Tinti C, Parma-Benfenati S. Vertical ridge augmentation: surgical protocol and retrospective evaluation of 48 consecutively inserted implants. </w:t>
      </w:r>
      <w:r w:rsidRPr="00D21A68">
        <w:rPr>
          <w:noProof/>
          <w:lang w:val="en-US"/>
        </w:rPr>
        <w:t>Int J P</w:t>
      </w:r>
      <w:r>
        <w:rPr>
          <w:noProof/>
          <w:lang w:val="en-US"/>
        </w:rPr>
        <w:t>eriodontics</w:t>
      </w:r>
      <w:r w:rsidRPr="00D21A68">
        <w:rPr>
          <w:noProof/>
          <w:lang w:val="en-US"/>
        </w:rPr>
        <w:t xml:space="preserve"> Rest</w:t>
      </w:r>
      <w:r>
        <w:rPr>
          <w:noProof/>
          <w:lang w:val="en-US"/>
        </w:rPr>
        <w:t>orative</w:t>
      </w:r>
      <w:r w:rsidRPr="00D21A68">
        <w:rPr>
          <w:noProof/>
          <w:lang w:val="en-US"/>
        </w:rPr>
        <w:t xml:space="preserve"> Dent. 1998</w:t>
      </w:r>
      <w:r>
        <w:rPr>
          <w:noProof/>
          <w:lang w:val="en-US"/>
        </w:rPr>
        <w:t>;</w:t>
      </w:r>
      <w:r w:rsidRPr="00D21A68">
        <w:rPr>
          <w:noProof/>
          <w:lang w:val="en-US"/>
        </w:rPr>
        <w:t xml:space="preserve"> </w:t>
      </w:r>
      <w:r>
        <w:rPr>
          <w:noProof/>
          <w:lang w:val="en-US"/>
        </w:rPr>
        <w:t>18(5):435-443</w:t>
      </w:r>
      <w:r w:rsidRPr="00D21A68">
        <w:rPr>
          <w:noProof/>
          <w:lang w:val="en-US"/>
        </w:rPr>
        <w:t xml:space="preserve"> </w:t>
      </w:r>
    </w:p>
    <w:p w14:paraId="4CFE95CE" w14:textId="13A087EA"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31. </w:t>
      </w:r>
      <w:r w:rsidRPr="0052730A">
        <w:rPr>
          <w:noProof/>
          <w:lang w:val="en-US"/>
        </w:rPr>
        <w:tab/>
        <w:t xml:space="preserve">Ronda M, Stacchi C. Management of a coronally advanced lingual flap in regenerative osseous surgery: a case series introducing a novel technique. Int J Periodontics Restorative Dent . 2011;31(5):505–13. </w:t>
      </w:r>
    </w:p>
    <w:p w14:paraId="5DC5DDA5"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32. </w:t>
      </w:r>
      <w:r w:rsidRPr="0052730A">
        <w:rPr>
          <w:noProof/>
          <w:lang w:val="en-US"/>
        </w:rPr>
        <w:tab/>
        <w:t xml:space="preserve">Urban I, Traxler H, Romero-Bustillos M, Farkasdi S, Bartee B, Baksa G, et al. Effectiveness of Two Different Lingual Flap Advancing Techniques for Vertical Bone Augmentation in the Posterior Mandible: A Comparative, Split-Mouth Cadaver Study. Int J Periodontics Restorative Dent. 2018;38(1):35–40. </w:t>
      </w:r>
    </w:p>
    <w:p w14:paraId="0AD4ECAB"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33. </w:t>
      </w:r>
      <w:r w:rsidRPr="0052730A">
        <w:rPr>
          <w:noProof/>
          <w:lang w:val="en-US"/>
        </w:rPr>
        <w:tab/>
        <w:t xml:space="preserve">Simion M, Jovanovic SA, Tinti C, Benfenati SP. Long-term evaluation of osseointegrated implants inserted at the time or after vertical ridge augmentation: A retrospective study on I23 implants with I-5 year follow-up. Vol. 12, Clinical Oral Implants Research. 2001. </w:t>
      </w:r>
    </w:p>
    <w:p w14:paraId="25881AEA"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34. </w:t>
      </w:r>
      <w:r w:rsidRPr="0052730A">
        <w:rPr>
          <w:noProof/>
          <w:lang w:val="en-US"/>
        </w:rPr>
        <w:tab/>
        <w:t xml:space="preserve">Urban IA, Jovanovic SA, Lozada JL. Vertical Ridge Augmentation Using Guided Bone Regeneration (GBR) in Three Clinical Scenarios Prior to Implant Placement: A Retrospective Study of 35 Patients 12 to 72 Months After Loading. Vol. 24. 2009. </w:t>
      </w:r>
    </w:p>
    <w:p w14:paraId="717D3EB9"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35. </w:t>
      </w:r>
      <w:r w:rsidRPr="0052730A">
        <w:rPr>
          <w:noProof/>
          <w:lang w:val="en-US"/>
        </w:rPr>
        <w:tab/>
        <w:t xml:space="preserve">Fontana F, Santoro F, Maiorana C, Iezzi G, Piattelli A, Simion M. Clinical and Histologic Evaluation of Allogeneic Bone Matrix Versus Autogenous Bone Chips Associated with Titanium-Reinforced e-PTFE Membrane for Vertical Ridge Augmentation: A Prospective Pilot Study. 2008. </w:t>
      </w:r>
    </w:p>
    <w:p w14:paraId="6CDC367E" w14:textId="1128C1B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36. </w:t>
      </w:r>
      <w:r w:rsidRPr="0052730A">
        <w:rPr>
          <w:noProof/>
          <w:lang w:val="en-US"/>
        </w:rPr>
        <w:tab/>
        <w:t xml:space="preserve">Simion M, Jovanovic SA, Trisi P, Scarano A, Piattelli A. Vertical ridge augmentation around dental implants using a membrane technique and autogenous bone or allografts in humans. Vol. 18, The International journal of periodontics &amp; restorative dentistry. 1998. </w:t>
      </w:r>
    </w:p>
    <w:p w14:paraId="57236034"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37. </w:t>
      </w:r>
      <w:r w:rsidRPr="0052730A">
        <w:rPr>
          <w:noProof/>
          <w:lang w:val="en-US"/>
        </w:rPr>
        <w:tab/>
        <w:t xml:space="preserve">Corinaldesi G, Pieri F, Marchetti C, Fini M, Aldini NN, Giardino R. Histologic and Histomorphometric Evaluation of Alveolar Ridge Augmentation Using Bone Grafts and Titanium Micromesh in Humans. J Periodontol. 2007 Aug;78(8):1477–84. </w:t>
      </w:r>
    </w:p>
    <w:p w14:paraId="032EA268"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38. </w:t>
      </w:r>
      <w:r w:rsidRPr="0052730A">
        <w:rPr>
          <w:noProof/>
          <w:lang w:val="en-US"/>
        </w:rPr>
        <w:tab/>
        <w:t xml:space="preserve">Beitlitum I, Artzi Z, Nemcovsky CE. Clinical evaluation of particulate allogeneic with and without autogenous bone grafts and resorbable collagen membranes for bone augmentation of atrophic alveolar ridges. Clin Oral Implants Res. 2010 Nov;21(11):1242–50. </w:t>
      </w:r>
    </w:p>
    <w:p w14:paraId="2F191865"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39. </w:t>
      </w:r>
      <w:r w:rsidRPr="0052730A">
        <w:rPr>
          <w:noProof/>
          <w:lang w:val="en-US"/>
        </w:rPr>
        <w:tab/>
        <w:t xml:space="preserve">Simion M, Fontana F, Rasperini G, Maiorana C. Vertical ridge augmentation </w:t>
      </w:r>
      <w:r w:rsidRPr="0052730A">
        <w:rPr>
          <w:noProof/>
          <w:lang w:val="en-US"/>
        </w:rPr>
        <w:lastRenderedPageBreak/>
        <w:t xml:space="preserve">by expanded-polytetrafluoroethylene membrane and a combination of intraoral autogenous bone graft and deproteinized anorganic bovine bone (Bio Oss). Clin Oral Implants Res. 2007 Oct;18(5):620–9. </w:t>
      </w:r>
    </w:p>
    <w:p w14:paraId="70C99F66"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40. </w:t>
      </w:r>
      <w:r w:rsidRPr="0052730A">
        <w:rPr>
          <w:noProof/>
          <w:lang w:val="en-US"/>
        </w:rPr>
        <w:tab/>
        <w:t xml:space="preserve">Fontana F, Grossi G, Fimano M, Maiorana C. Osseointegrated Implants in Vertical Ridge Augmentation with a Nonresorbable Membrane: A Retrospective Study of 75 Implants with 1 to 6 Years of Follow-up. Int J Periodontics Restor Dent. 2015 Jan;35(1):29–39. </w:t>
      </w:r>
    </w:p>
    <w:p w14:paraId="01F5128E"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41. </w:t>
      </w:r>
      <w:r w:rsidRPr="0052730A">
        <w:rPr>
          <w:noProof/>
          <w:lang w:val="en-US"/>
        </w:rPr>
        <w:tab/>
        <w:t xml:space="preserve">Funato A, Ishikawa T, Kitajima H, Yamada M, Moroi H. A Novel Combined Surgical Approach to Vertical Alveolar Ridge Augmentation with Titanium Mesh, Resorbable Membrane, and rhPDGF-BB: A Retrospective Consecutive Case Series. Int J Periodontics Restor Dent. 2013 Jul;33(4):437–45. </w:t>
      </w:r>
    </w:p>
    <w:p w14:paraId="31D586DC"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42. </w:t>
      </w:r>
      <w:r w:rsidRPr="0052730A">
        <w:rPr>
          <w:noProof/>
          <w:lang w:val="en-US"/>
        </w:rPr>
        <w:tab/>
        <w:t xml:space="preserve">Merli M, Moscatelli M, Mariotti G, Rotundo R, Bernardelli F, Nieri M. Bone Level Variation After Vertical Ridge Augmentation: Resorbable Barriers Versus Titanium-Reinforced Barriers. A 6-Year Double-Blind Randomized Clinical Trial. Int J Oral Maxillofac Implants. 2014;29(4):905–13. </w:t>
      </w:r>
    </w:p>
    <w:p w14:paraId="67A38561"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43. </w:t>
      </w:r>
      <w:r w:rsidRPr="0052730A">
        <w:rPr>
          <w:noProof/>
          <w:lang w:val="en-US"/>
        </w:rPr>
        <w:tab/>
        <w:t xml:space="preserve">Jung RE, Hälg GA, Thoma DS, Hämmerle CHF. A randomized, controlled clinical trial to evaluate a new membrane for guided bone regeneration around dental implants. Clin Oral Implants Res. 2009;20(2):162–8. </w:t>
      </w:r>
    </w:p>
    <w:p w14:paraId="0740DAD2"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44. </w:t>
      </w:r>
      <w:r w:rsidRPr="0052730A">
        <w:rPr>
          <w:noProof/>
          <w:lang w:val="en-US"/>
        </w:rPr>
        <w:tab/>
        <w:t xml:space="preserve">Ronda M, Rebaudi A, Torelli L, Stacchi C. Expanded vs. dense polytetrafluoroethylene membranes in vertical ridge augmentation around dental implants: A prospective randomized controlled clinical trial. Clin Oral Implants Res. 2014;25(7):859–66. </w:t>
      </w:r>
    </w:p>
    <w:p w14:paraId="5E175213"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45. </w:t>
      </w:r>
      <w:r w:rsidRPr="0052730A">
        <w:rPr>
          <w:noProof/>
          <w:lang w:val="en-US"/>
        </w:rPr>
        <w:tab/>
        <w:t xml:space="preserve">Urban IA, Lozada JL, Jovanovic SA, Nagursky H, Nagy K. Vertical ridge augmentation with titanium-reinforced, dense-PTFE membranes and a combination of particulated autogenous bone and anorganic bovine bone-derived mineral: a prospective case series in 19 patients. Int J Oral Maxillofac Implants. 2014;29(1):185–93. </w:t>
      </w:r>
    </w:p>
    <w:p w14:paraId="3FB48E0D"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46. </w:t>
      </w:r>
      <w:r w:rsidRPr="0052730A">
        <w:rPr>
          <w:noProof/>
          <w:lang w:val="en-US"/>
        </w:rPr>
        <w:tab/>
        <w:t xml:space="preserve">Cucchi A, Vignudelli E, Napolitano A, Marchetti C, Corinaldesi G. Evaluation of complication rates and vertical bone gain after guided bone regeneration with non-resorbable membranes versus titanium meshes and resorbable membranes. A randomized clinical trial. Clin Implant Dent Relat Res. 2017 Oct 1;19(5):821–32. </w:t>
      </w:r>
    </w:p>
    <w:p w14:paraId="0CBA58D3"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47. </w:t>
      </w:r>
      <w:r w:rsidRPr="0052730A">
        <w:rPr>
          <w:noProof/>
          <w:lang w:val="en-US"/>
        </w:rPr>
        <w:tab/>
        <w:t xml:space="preserve">Cucchi A, Sartori M, Parrilli A, Aldini NN, Vignudelli E, Corinaldesi G. Histological and histomorphometric analysis of bone tissue after guided bone regeneration with non-resorbable membranes vs resorbable membranes and titanium mesh. Clin Implant Dent Relat Res. 2019;(January):1–9. </w:t>
      </w:r>
    </w:p>
    <w:p w14:paraId="63EE50CB"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48. </w:t>
      </w:r>
      <w:r w:rsidRPr="0052730A">
        <w:rPr>
          <w:noProof/>
          <w:lang w:val="en-US"/>
        </w:rPr>
        <w:tab/>
        <w:t xml:space="preserve">Cardaropoli D, Gaveglio L, Cardaropoli G. Vertical Ridge Augmentation with a </w:t>
      </w:r>
      <w:r w:rsidRPr="0052730A">
        <w:rPr>
          <w:noProof/>
          <w:lang w:val="en-US"/>
        </w:rPr>
        <w:lastRenderedPageBreak/>
        <w:t xml:space="preserve">Collagen Membrane, Bovine Bone Mineral and Fibrin Sealer: Clinical and Histologic Findings. Int J Periodontics Restor Dent. 2013 Sep;33(5):583–9. </w:t>
      </w:r>
    </w:p>
    <w:p w14:paraId="489E7A26"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49. </w:t>
      </w:r>
      <w:r w:rsidRPr="0052730A">
        <w:rPr>
          <w:noProof/>
          <w:lang w:val="en-US"/>
        </w:rPr>
        <w:tab/>
        <w:t xml:space="preserve">Simion M, Ferrantino L, Idotta E, Zarone F. Turned Implants in Vertical Augmented Bone: A Retrospective Study with 13 to 21 Years Follow-Up. Int J Periodontics Restorative Dent. 2016 May;36(3):309–17. </w:t>
      </w:r>
    </w:p>
    <w:p w14:paraId="02C0EE0F"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50. </w:t>
      </w:r>
      <w:r w:rsidRPr="0052730A">
        <w:rPr>
          <w:noProof/>
          <w:lang w:val="en-US"/>
        </w:rPr>
        <w:tab/>
        <w:t xml:space="preserve">Task Force Revitalization Process (CTFPHC). Evidece-Based Clinical Prevention. 2005; </w:t>
      </w:r>
    </w:p>
    <w:p w14:paraId="3E79584B"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51. </w:t>
      </w:r>
      <w:r w:rsidRPr="0052730A">
        <w:rPr>
          <w:noProof/>
          <w:lang w:val="en-US"/>
        </w:rPr>
        <w:tab/>
        <w:t>Definition of Evidence Based Dentistry. Ada Policy Statements Evid Based Dent [Internet]. 2001;462. Available from: https://www.ada.org/en/about-the-ada/ada-positions-policies-and-statements/policy-on-evidence-based-dentistryA</w:t>
      </w:r>
    </w:p>
    <w:p w14:paraId="503CFA7B" w14:textId="77777777" w:rsidR="00D21A68" w:rsidRPr="0052730A" w:rsidRDefault="00D21A68" w:rsidP="00D21A68">
      <w:pPr>
        <w:widowControl w:val="0"/>
        <w:autoSpaceDE w:val="0"/>
        <w:autoSpaceDN w:val="0"/>
        <w:adjustRightInd w:val="0"/>
        <w:spacing w:line="360" w:lineRule="auto"/>
        <w:ind w:left="640" w:hanging="640"/>
        <w:rPr>
          <w:noProof/>
          <w:lang w:val="en-US"/>
        </w:rPr>
      </w:pPr>
      <w:r w:rsidRPr="0052730A">
        <w:rPr>
          <w:noProof/>
          <w:lang w:val="en-US"/>
        </w:rPr>
        <w:t xml:space="preserve">52. </w:t>
      </w:r>
      <w:r w:rsidRPr="0052730A">
        <w:rPr>
          <w:noProof/>
          <w:lang w:val="en-US"/>
        </w:rPr>
        <w:tab/>
        <w:t xml:space="preserve">Pieri F, Corinaldesi G, Fini M, Aldini NN, Giardino R, Marchetti C. Alveolar Ridge Augmentation With Titanium Mesh and a Combination of Autogenous Bone and Anorganic Bovine Bone: A 2-Year Prospective Study. J Periodontol. 2008 Nov;79(11):2093–103. </w:t>
      </w:r>
    </w:p>
    <w:p w14:paraId="4E622B3B" w14:textId="17C78F14" w:rsidR="00D21A68" w:rsidRPr="00D21A68" w:rsidRDefault="00D21A68" w:rsidP="00D21A68">
      <w:pPr>
        <w:widowControl w:val="0"/>
        <w:autoSpaceDE w:val="0"/>
        <w:autoSpaceDN w:val="0"/>
        <w:adjustRightInd w:val="0"/>
        <w:spacing w:line="360" w:lineRule="auto"/>
        <w:ind w:left="640" w:hanging="640"/>
        <w:rPr>
          <w:noProof/>
        </w:rPr>
      </w:pPr>
      <w:r w:rsidRPr="0052730A">
        <w:rPr>
          <w:noProof/>
          <w:lang w:val="en-US"/>
        </w:rPr>
        <w:t xml:space="preserve">53. </w:t>
      </w:r>
      <w:r w:rsidRPr="0052730A">
        <w:rPr>
          <w:noProof/>
          <w:lang w:val="en-US"/>
        </w:rPr>
        <w:tab/>
        <w:t xml:space="preserve">Barboza EP, Stutz B, Ferreira VF, Carvalho W. Guided bone regeneration using nonexpanded polytetrafluoroethylene membranes in preparation for dental implant placements-A report of 420 cases. </w:t>
      </w:r>
      <w:r w:rsidRPr="00D21A68">
        <w:rPr>
          <w:noProof/>
          <w:lang w:val="es-ES_tradnl"/>
        </w:rPr>
        <w:t xml:space="preserve">Implant Dent. 2010;19(1):27. </w:t>
      </w:r>
    </w:p>
    <w:p w14:paraId="3BA7BEBE" w14:textId="4FB4FCA8" w:rsidR="005E334C" w:rsidRPr="004836AF" w:rsidRDefault="001F34DB" w:rsidP="00D21A68">
      <w:pPr>
        <w:widowControl w:val="0"/>
        <w:autoSpaceDE w:val="0"/>
        <w:autoSpaceDN w:val="0"/>
        <w:adjustRightInd w:val="0"/>
        <w:spacing w:line="360" w:lineRule="auto"/>
        <w:ind w:left="640" w:hanging="640"/>
      </w:pPr>
      <w:r>
        <w:fldChar w:fldCharType="end"/>
      </w:r>
    </w:p>
    <w:sectPr w:rsidR="005E334C" w:rsidRPr="004836AF" w:rsidSect="00195DC1">
      <w:pgSz w:w="11909" w:h="16834"/>
      <w:pgMar w:top="1418" w:right="1418" w:bottom="1418" w:left="226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13C1E" w14:textId="77777777" w:rsidR="00F479A8" w:rsidRDefault="00F479A8" w:rsidP="004836AF">
      <w:r>
        <w:separator/>
      </w:r>
    </w:p>
  </w:endnote>
  <w:endnote w:type="continuationSeparator" w:id="0">
    <w:p w14:paraId="0F6B83DD" w14:textId="77777777" w:rsidR="00F479A8" w:rsidRDefault="00F479A8" w:rsidP="0048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000499286"/>
      <w:docPartObj>
        <w:docPartGallery w:val="Page Numbers (Bottom of Page)"/>
        <w:docPartUnique/>
      </w:docPartObj>
    </w:sdtPr>
    <w:sdtEndPr>
      <w:rPr>
        <w:rStyle w:val="Nmerodepgina"/>
      </w:rPr>
    </w:sdtEndPr>
    <w:sdtContent>
      <w:p w14:paraId="65EB87CD" w14:textId="5A8C2E9C" w:rsidR="004B358B" w:rsidRDefault="004B358B" w:rsidP="00A6302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14602F0" w14:textId="77777777" w:rsidR="004B358B" w:rsidRDefault="004B358B" w:rsidP="009519A4">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E161B" w14:textId="013BA59C" w:rsidR="004B358B" w:rsidRDefault="004B358B" w:rsidP="0052730A">
    <w:pPr>
      <w:pStyle w:val="Piedepgina"/>
      <w:framePr w:wrap="none" w:vAnchor="text" w:hAnchor="margin" w:xAlign="right" w:y="1"/>
      <w:ind w:right="360"/>
      <w:rPr>
        <w:rStyle w:val="Nmerodepgina"/>
      </w:rPr>
    </w:pPr>
  </w:p>
  <w:p w14:paraId="4D556DE0" w14:textId="2E6C01D7" w:rsidR="004B358B" w:rsidRDefault="004B358B" w:rsidP="004836AF">
    <w:pPr>
      <w:pStyle w:val="Piedepgina"/>
      <w:ind w:right="360"/>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F36B5" w14:textId="77777777" w:rsidR="00F479A8" w:rsidRDefault="00F479A8" w:rsidP="004836AF">
      <w:r>
        <w:separator/>
      </w:r>
    </w:p>
  </w:footnote>
  <w:footnote w:type="continuationSeparator" w:id="0">
    <w:p w14:paraId="1D53ED2B" w14:textId="77777777" w:rsidR="00F479A8" w:rsidRDefault="00F479A8" w:rsidP="004836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01080"/>
    <w:multiLevelType w:val="hybridMultilevel"/>
    <w:tmpl w:val="52FAA2F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07DE71FE"/>
    <w:multiLevelType w:val="multilevel"/>
    <w:tmpl w:val="E6889AB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9233A3C"/>
    <w:multiLevelType w:val="hybridMultilevel"/>
    <w:tmpl w:val="C8F881EC"/>
    <w:lvl w:ilvl="0" w:tplc="17626C50">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2DD5708"/>
    <w:multiLevelType w:val="multilevel"/>
    <w:tmpl w:val="0E9AA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5269A"/>
    <w:multiLevelType w:val="hybridMultilevel"/>
    <w:tmpl w:val="20FCD58E"/>
    <w:lvl w:ilvl="0" w:tplc="D3C02B3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CDD5C25"/>
    <w:multiLevelType w:val="hybridMultilevel"/>
    <w:tmpl w:val="DFB85412"/>
    <w:lvl w:ilvl="0" w:tplc="26CE1F9A">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7A0437E"/>
    <w:multiLevelType w:val="multilevel"/>
    <w:tmpl w:val="D2C0CB8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 w15:restartNumberingAfterBreak="0">
    <w:nsid w:val="395B0B49"/>
    <w:multiLevelType w:val="multilevel"/>
    <w:tmpl w:val="262E156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0A75AE9"/>
    <w:multiLevelType w:val="hybridMultilevel"/>
    <w:tmpl w:val="C04A77D2"/>
    <w:lvl w:ilvl="0" w:tplc="0C382FEC">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8F55C51"/>
    <w:multiLevelType w:val="hybridMultilevel"/>
    <w:tmpl w:val="87D227AE"/>
    <w:lvl w:ilvl="0" w:tplc="5E2E7FF6">
      <w:start w:val="2"/>
      <w:numFmt w:val="decimal"/>
      <w:lvlText w:val="%1."/>
      <w:lvlJc w:val="left"/>
      <w:pPr>
        <w:ind w:left="780" w:hanging="360"/>
      </w:pPr>
      <w:rPr>
        <w:rFonts w:hint="default"/>
      </w:rPr>
    </w:lvl>
    <w:lvl w:ilvl="1" w:tplc="040A0019" w:tentative="1">
      <w:start w:val="1"/>
      <w:numFmt w:val="lowerLetter"/>
      <w:lvlText w:val="%2."/>
      <w:lvlJc w:val="left"/>
      <w:pPr>
        <w:ind w:left="1500" w:hanging="360"/>
      </w:pPr>
    </w:lvl>
    <w:lvl w:ilvl="2" w:tplc="040A001B" w:tentative="1">
      <w:start w:val="1"/>
      <w:numFmt w:val="lowerRoman"/>
      <w:lvlText w:val="%3."/>
      <w:lvlJc w:val="right"/>
      <w:pPr>
        <w:ind w:left="2220" w:hanging="180"/>
      </w:pPr>
    </w:lvl>
    <w:lvl w:ilvl="3" w:tplc="040A000F" w:tentative="1">
      <w:start w:val="1"/>
      <w:numFmt w:val="decimal"/>
      <w:lvlText w:val="%4."/>
      <w:lvlJc w:val="left"/>
      <w:pPr>
        <w:ind w:left="2940" w:hanging="360"/>
      </w:pPr>
    </w:lvl>
    <w:lvl w:ilvl="4" w:tplc="040A0019" w:tentative="1">
      <w:start w:val="1"/>
      <w:numFmt w:val="lowerLetter"/>
      <w:lvlText w:val="%5."/>
      <w:lvlJc w:val="left"/>
      <w:pPr>
        <w:ind w:left="3660" w:hanging="360"/>
      </w:pPr>
    </w:lvl>
    <w:lvl w:ilvl="5" w:tplc="040A001B" w:tentative="1">
      <w:start w:val="1"/>
      <w:numFmt w:val="lowerRoman"/>
      <w:lvlText w:val="%6."/>
      <w:lvlJc w:val="right"/>
      <w:pPr>
        <w:ind w:left="4380" w:hanging="180"/>
      </w:pPr>
    </w:lvl>
    <w:lvl w:ilvl="6" w:tplc="040A000F" w:tentative="1">
      <w:start w:val="1"/>
      <w:numFmt w:val="decimal"/>
      <w:lvlText w:val="%7."/>
      <w:lvlJc w:val="left"/>
      <w:pPr>
        <w:ind w:left="5100" w:hanging="360"/>
      </w:pPr>
    </w:lvl>
    <w:lvl w:ilvl="7" w:tplc="040A0019" w:tentative="1">
      <w:start w:val="1"/>
      <w:numFmt w:val="lowerLetter"/>
      <w:lvlText w:val="%8."/>
      <w:lvlJc w:val="left"/>
      <w:pPr>
        <w:ind w:left="5820" w:hanging="360"/>
      </w:pPr>
    </w:lvl>
    <w:lvl w:ilvl="8" w:tplc="040A001B" w:tentative="1">
      <w:start w:val="1"/>
      <w:numFmt w:val="lowerRoman"/>
      <w:lvlText w:val="%9."/>
      <w:lvlJc w:val="right"/>
      <w:pPr>
        <w:ind w:left="6540" w:hanging="180"/>
      </w:pPr>
    </w:lvl>
  </w:abstractNum>
  <w:num w:numId="1">
    <w:abstractNumId w:val="6"/>
  </w:num>
  <w:num w:numId="2">
    <w:abstractNumId w:val="1"/>
  </w:num>
  <w:num w:numId="3">
    <w:abstractNumId w:val="7"/>
  </w:num>
  <w:num w:numId="4">
    <w:abstractNumId w:val="3"/>
  </w:num>
  <w:num w:numId="5">
    <w:abstractNumId w:val="0"/>
  </w:num>
  <w:num w:numId="6">
    <w:abstractNumId w:val="5"/>
  </w:num>
  <w:num w:numId="7">
    <w:abstractNumId w:val="2"/>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34C"/>
    <w:rsid w:val="00047F44"/>
    <w:rsid w:val="0007783E"/>
    <w:rsid w:val="000C09DC"/>
    <w:rsid w:val="000E585F"/>
    <w:rsid w:val="000F05F6"/>
    <w:rsid w:val="00105FD1"/>
    <w:rsid w:val="00117609"/>
    <w:rsid w:val="00133000"/>
    <w:rsid w:val="001767A0"/>
    <w:rsid w:val="00195DC1"/>
    <w:rsid w:val="001F34DB"/>
    <w:rsid w:val="002131B4"/>
    <w:rsid w:val="002D7194"/>
    <w:rsid w:val="00304BFB"/>
    <w:rsid w:val="00325C49"/>
    <w:rsid w:val="003624E0"/>
    <w:rsid w:val="003E7255"/>
    <w:rsid w:val="00463478"/>
    <w:rsid w:val="004836AF"/>
    <w:rsid w:val="004B358B"/>
    <w:rsid w:val="004B63D4"/>
    <w:rsid w:val="004D5EDC"/>
    <w:rsid w:val="004E6F4E"/>
    <w:rsid w:val="005221AF"/>
    <w:rsid w:val="0052730A"/>
    <w:rsid w:val="005805D7"/>
    <w:rsid w:val="005E334C"/>
    <w:rsid w:val="00654364"/>
    <w:rsid w:val="00706190"/>
    <w:rsid w:val="00766EC4"/>
    <w:rsid w:val="0078354C"/>
    <w:rsid w:val="007F4B2F"/>
    <w:rsid w:val="007F7B50"/>
    <w:rsid w:val="00862CC4"/>
    <w:rsid w:val="008A119C"/>
    <w:rsid w:val="00936BD7"/>
    <w:rsid w:val="00942FDE"/>
    <w:rsid w:val="009519A4"/>
    <w:rsid w:val="00963215"/>
    <w:rsid w:val="0096710F"/>
    <w:rsid w:val="0098457F"/>
    <w:rsid w:val="00A3337C"/>
    <w:rsid w:val="00A56A8E"/>
    <w:rsid w:val="00A6302F"/>
    <w:rsid w:val="00AD2362"/>
    <w:rsid w:val="00AE2D42"/>
    <w:rsid w:val="00B0493C"/>
    <w:rsid w:val="00B05634"/>
    <w:rsid w:val="00B13162"/>
    <w:rsid w:val="00B2340A"/>
    <w:rsid w:val="00B45DEF"/>
    <w:rsid w:val="00BC1754"/>
    <w:rsid w:val="00C36FA4"/>
    <w:rsid w:val="00C84B84"/>
    <w:rsid w:val="00C85032"/>
    <w:rsid w:val="00D00AEC"/>
    <w:rsid w:val="00D21A68"/>
    <w:rsid w:val="00D57174"/>
    <w:rsid w:val="00D63699"/>
    <w:rsid w:val="00DB10DD"/>
    <w:rsid w:val="00E57866"/>
    <w:rsid w:val="00E6427D"/>
    <w:rsid w:val="00EA6805"/>
    <w:rsid w:val="00ED2359"/>
    <w:rsid w:val="00F479A8"/>
    <w:rsid w:val="00F50D93"/>
    <w:rsid w:val="00FB6880"/>
    <w:rsid w:val="00FE3F5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2779F"/>
  <w15:docId w15:val="{F5CA223D-1D5C-4F41-8803-F57DBD3C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D235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D2359"/>
    <w:rPr>
      <w:rFonts w:ascii="Times New Roman" w:hAnsi="Times New Roman" w:cs="Times New Roman"/>
      <w:sz w:val="18"/>
      <w:szCs w:val="18"/>
    </w:rPr>
  </w:style>
  <w:style w:type="paragraph" w:styleId="Piedepgina">
    <w:name w:val="footer"/>
    <w:basedOn w:val="Normal"/>
    <w:link w:val="PiedepginaCar"/>
    <w:uiPriority w:val="99"/>
    <w:unhideWhenUsed/>
    <w:rsid w:val="004836AF"/>
    <w:pPr>
      <w:tabs>
        <w:tab w:val="center" w:pos="4419"/>
        <w:tab w:val="right" w:pos="8838"/>
      </w:tabs>
    </w:pPr>
  </w:style>
  <w:style w:type="character" w:customStyle="1" w:styleId="PiedepginaCar">
    <w:name w:val="Pie de página Car"/>
    <w:basedOn w:val="Fuentedeprrafopredeter"/>
    <w:link w:val="Piedepgina"/>
    <w:uiPriority w:val="99"/>
    <w:rsid w:val="004836AF"/>
  </w:style>
  <w:style w:type="character" w:styleId="Nmerodepgina">
    <w:name w:val="page number"/>
    <w:basedOn w:val="Fuentedeprrafopredeter"/>
    <w:uiPriority w:val="99"/>
    <w:semiHidden/>
    <w:unhideWhenUsed/>
    <w:rsid w:val="004836AF"/>
  </w:style>
  <w:style w:type="paragraph" w:styleId="Asuntodelcomentario">
    <w:name w:val="annotation subject"/>
    <w:basedOn w:val="Textocomentario"/>
    <w:next w:val="Textocomentario"/>
    <w:link w:val="AsuntodelcomentarioCar"/>
    <w:uiPriority w:val="99"/>
    <w:semiHidden/>
    <w:unhideWhenUsed/>
    <w:rsid w:val="003E7255"/>
    <w:rPr>
      <w:b/>
      <w:bCs/>
    </w:rPr>
  </w:style>
  <w:style w:type="character" w:customStyle="1" w:styleId="AsuntodelcomentarioCar">
    <w:name w:val="Asunto del comentario Car"/>
    <w:basedOn w:val="TextocomentarioCar"/>
    <w:link w:val="Asuntodelcomentario"/>
    <w:uiPriority w:val="99"/>
    <w:semiHidden/>
    <w:rsid w:val="003E7255"/>
    <w:rPr>
      <w:b/>
      <w:bCs/>
      <w:sz w:val="20"/>
      <w:szCs w:val="20"/>
    </w:rPr>
  </w:style>
  <w:style w:type="paragraph" w:styleId="Prrafodelista">
    <w:name w:val="List Paragraph"/>
    <w:basedOn w:val="Normal"/>
    <w:uiPriority w:val="34"/>
    <w:qFormat/>
    <w:rsid w:val="00304BFB"/>
    <w:pPr>
      <w:ind w:left="720"/>
      <w:contextualSpacing/>
    </w:pPr>
  </w:style>
  <w:style w:type="paragraph" w:styleId="Encabezado">
    <w:name w:val="header"/>
    <w:basedOn w:val="Normal"/>
    <w:link w:val="EncabezadoCar"/>
    <w:uiPriority w:val="99"/>
    <w:unhideWhenUsed/>
    <w:rsid w:val="00E6427D"/>
    <w:pPr>
      <w:tabs>
        <w:tab w:val="center" w:pos="4419"/>
        <w:tab w:val="right" w:pos="8838"/>
      </w:tabs>
    </w:pPr>
  </w:style>
  <w:style w:type="character" w:customStyle="1" w:styleId="EncabezadoCar">
    <w:name w:val="Encabezado Car"/>
    <w:basedOn w:val="Fuentedeprrafopredeter"/>
    <w:link w:val="Encabezado"/>
    <w:uiPriority w:val="99"/>
    <w:rsid w:val="00E64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7DF437-7728-9D4C-927C-C4DBD900EB88}" type="doc">
      <dgm:prSet loTypeId="urn:microsoft.com/office/officeart/2005/8/layout/hierarchy6" loCatId="" qsTypeId="urn:microsoft.com/office/officeart/2005/8/quickstyle/simple1" qsCatId="simple" csTypeId="urn:microsoft.com/office/officeart/2005/8/colors/accent1_2" csCatId="accent1" phldr="1"/>
      <dgm:spPr/>
      <dgm:t>
        <a:bodyPr/>
        <a:lstStyle/>
        <a:p>
          <a:endParaRPr lang="es-ES"/>
        </a:p>
      </dgm:t>
    </dgm:pt>
    <dgm:pt modelId="{A95C443B-71F7-674C-90D7-6A2E46DD036E}">
      <dgm:prSet phldrT="[Texto]"/>
      <dgm:spPr/>
      <dgm:t>
        <a:bodyPr/>
        <a:lstStyle/>
        <a:p>
          <a:r>
            <a:rPr lang="es-ES" dirty="0"/>
            <a:t>Mandíbula  Atrófica</a:t>
          </a:r>
        </a:p>
      </dgm:t>
    </dgm:pt>
    <dgm:pt modelId="{A012FA0A-020A-4749-9862-ED0D84D83E20}" type="parTrans" cxnId="{B2B34E50-6F62-DA43-9796-B06B04E15A69}">
      <dgm:prSet/>
      <dgm:spPr/>
      <dgm:t>
        <a:bodyPr/>
        <a:lstStyle/>
        <a:p>
          <a:endParaRPr lang="es-ES"/>
        </a:p>
      </dgm:t>
    </dgm:pt>
    <dgm:pt modelId="{80C508FD-6E6F-034E-98B3-9C486A985F96}" type="sibTrans" cxnId="{B2B34E50-6F62-DA43-9796-B06B04E15A69}">
      <dgm:prSet/>
      <dgm:spPr/>
      <dgm:t>
        <a:bodyPr/>
        <a:lstStyle/>
        <a:p>
          <a:endParaRPr lang="es-ES"/>
        </a:p>
      </dgm:t>
    </dgm:pt>
    <dgm:pt modelId="{5D50ED70-DAF8-284D-B7A2-60CD82006195}">
      <dgm:prSet phldrT="[Texto]"/>
      <dgm:spPr/>
      <dgm:t>
        <a:bodyPr/>
        <a:lstStyle/>
        <a:p>
          <a:r>
            <a:rPr lang="es-ES" dirty="0"/>
            <a:t>Distracción </a:t>
          </a:r>
          <a:r>
            <a:rPr lang="es-ES" dirty="0" err="1"/>
            <a:t>Osteogénica</a:t>
          </a:r>
          <a:endParaRPr lang="es-ES" dirty="0"/>
        </a:p>
      </dgm:t>
    </dgm:pt>
    <dgm:pt modelId="{E7991A68-E097-5B47-A538-56A99AFB46D1}" type="parTrans" cxnId="{9919756A-BEEE-8A4B-9633-39A76AD7CD95}">
      <dgm:prSet/>
      <dgm:spPr/>
      <dgm:t>
        <a:bodyPr/>
        <a:lstStyle/>
        <a:p>
          <a:endParaRPr lang="es-ES"/>
        </a:p>
      </dgm:t>
    </dgm:pt>
    <dgm:pt modelId="{6392D4F3-E0DF-534A-8458-F8E3E4F41666}" type="sibTrans" cxnId="{9919756A-BEEE-8A4B-9633-39A76AD7CD95}">
      <dgm:prSet/>
      <dgm:spPr/>
      <dgm:t>
        <a:bodyPr/>
        <a:lstStyle/>
        <a:p>
          <a:endParaRPr lang="es-ES"/>
        </a:p>
      </dgm:t>
    </dgm:pt>
    <dgm:pt modelId="{02DB5D66-B816-F44E-95C5-26DC7D091505}">
      <dgm:prSet/>
      <dgm:spPr/>
      <dgm:t>
        <a:bodyPr/>
        <a:lstStyle/>
        <a:p>
          <a:r>
            <a:rPr lang="es-ES" dirty="0"/>
            <a:t>Técnicas Regenerativas</a:t>
          </a:r>
        </a:p>
      </dgm:t>
    </dgm:pt>
    <dgm:pt modelId="{8FBA3B73-24EA-CB42-8569-5BEDC47ED258}" type="parTrans" cxnId="{B97FD495-7839-BB41-B669-885F2F191FF8}">
      <dgm:prSet/>
      <dgm:spPr/>
      <dgm:t>
        <a:bodyPr/>
        <a:lstStyle/>
        <a:p>
          <a:endParaRPr lang="es-ES"/>
        </a:p>
      </dgm:t>
    </dgm:pt>
    <dgm:pt modelId="{21127C1B-E52C-AB44-BC98-C2B62A6E9B34}" type="sibTrans" cxnId="{B97FD495-7839-BB41-B669-885F2F191FF8}">
      <dgm:prSet/>
      <dgm:spPr/>
      <dgm:t>
        <a:bodyPr/>
        <a:lstStyle/>
        <a:p>
          <a:endParaRPr lang="es-ES"/>
        </a:p>
      </dgm:t>
    </dgm:pt>
    <dgm:pt modelId="{E4AF98D2-88B8-8143-A151-036829785FA2}">
      <dgm:prSet/>
      <dgm:spPr/>
      <dgm:t>
        <a:bodyPr/>
        <a:lstStyle/>
        <a:p>
          <a:r>
            <a:rPr lang="es-ES" dirty="0"/>
            <a:t>Bloque Óseo Interpuesto</a:t>
          </a:r>
        </a:p>
      </dgm:t>
    </dgm:pt>
    <dgm:pt modelId="{5B5B2B0A-EDD2-794C-846C-D4AE0C43A1BB}" type="parTrans" cxnId="{A0580BD9-D488-3448-A3B9-52E44B24F3E5}">
      <dgm:prSet/>
      <dgm:spPr/>
      <dgm:t>
        <a:bodyPr/>
        <a:lstStyle/>
        <a:p>
          <a:endParaRPr lang="es-ES"/>
        </a:p>
      </dgm:t>
    </dgm:pt>
    <dgm:pt modelId="{ADF62233-A7C5-A848-AD5B-04E0625B184D}" type="sibTrans" cxnId="{A0580BD9-D488-3448-A3B9-52E44B24F3E5}">
      <dgm:prSet/>
      <dgm:spPr/>
      <dgm:t>
        <a:bodyPr/>
        <a:lstStyle/>
        <a:p>
          <a:endParaRPr lang="es-ES"/>
        </a:p>
      </dgm:t>
    </dgm:pt>
    <dgm:pt modelId="{A5F909A6-4198-CF44-BD35-03D270CE4218}">
      <dgm:prSet/>
      <dgm:spPr/>
      <dgm:t>
        <a:bodyPr/>
        <a:lstStyle/>
        <a:p>
          <a:r>
            <a:rPr lang="es-ES" dirty="0"/>
            <a:t>Bloque Óseo Sobrepuesto</a:t>
          </a:r>
        </a:p>
      </dgm:t>
    </dgm:pt>
    <dgm:pt modelId="{FEEC523C-D01B-274A-8CAA-00878063FDE1}" type="parTrans" cxnId="{51157428-42D3-5848-A1F7-5394CCCF0B2B}">
      <dgm:prSet/>
      <dgm:spPr/>
      <dgm:t>
        <a:bodyPr/>
        <a:lstStyle/>
        <a:p>
          <a:endParaRPr lang="es-ES"/>
        </a:p>
      </dgm:t>
    </dgm:pt>
    <dgm:pt modelId="{2DD351FA-2812-434A-9E06-E89A0CDC93BD}" type="sibTrans" cxnId="{51157428-42D3-5848-A1F7-5394CCCF0B2B}">
      <dgm:prSet/>
      <dgm:spPr/>
      <dgm:t>
        <a:bodyPr/>
        <a:lstStyle/>
        <a:p>
          <a:endParaRPr lang="es-ES"/>
        </a:p>
      </dgm:t>
    </dgm:pt>
    <dgm:pt modelId="{0FE36328-FE1E-2940-AAFA-E53F930078B8}">
      <dgm:prSet custT="1"/>
      <dgm:spPr>
        <a:solidFill>
          <a:schemeClr val="accent1"/>
        </a:solidFill>
        <a:effectLst>
          <a:outerShdw blurRad="50800" dist="50800" dir="5400000" sx="76000" sy="76000" algn="ctr" rotWithShape="0">
            <a:srgbClr val="000000">
              <a:alpha val="43137"/>
            </a:srgbClr>
          </a:outerShdw>
          <a:reflection blurRad="6350" stA="52000" endA="300" endPos="35000" dir="5400000" sy="-100000" algn="bl" rotWithShape="0"/>
        </a:effectLst>
      </dgm:spPr>
      <dgm:t>
        <a:bodyPr/>
        <a:lstStyle/>
        <a:p>
          <a:r>
            <a:rPr lang="es-ES" sz="1400" b="1" dirty="0"/>
            <a:t>Regeneración Ósea Guiada</a:t>
          </a:r>
        </a:p>
      </dgm:t>
    </dgm:pt>
    <dgm:pt modelId="{2F6B654E-63EF-BE44-99B4-187BD7B0956E}" type="parTrans" cxnId="{FD335EE0-E65C-7F4B-9D8D-000497E41AD9}">
      <dgm:prSet/>
      <dgm:spPr/>
      <dgm:t>
        <a:bodyPr/>
        <a:lstStyle/>
        <a:p>
          <a:endParaRPr lang="es-ES"/>
        </a:p>
      </dgm:t>
    </dgm:pt>
    <dgm:pt modelId="{4525BF20-5CEE-2748-A00A-2F5F89BB86BF}" type="sibTrans" cxnId="{FD335EE0-E65C-7F4B-9D8D-000497E41AD9}">
      <dgm:prSet/>
      <dgm:spPr/>
      <dgm:t>
        <a:bodyPr/>
        <a:lstStyle/>
        <a:p>
          <a:endParaRPr lang="es-ES"/>
        </a:p>
      </dgm:t>
    </dgm:pt>
    <dgm:pt modelId="{790F92E4-48B2-5E43-8BE7-730FA0278EE0}">
      <dgm:prSet/>
      <dgm:spPr/>
      <dgm:t>
        <a:bodyPr/>
        <a:lstStyle/>
        <a:p>
          <a:r>
            <a:rPr lang="es-ES" dirty="0"/>
            <a:t>Materiales</a:t>
          </a:r>
        </a:p>
      </dgm:t>
    </dgm:pt>
    <dgm:pt modelId="{ECB91F1F-ED4C-DB40-B31E-71E9B2E1FCAD}" type="parTrans" cxnId="{91101CB5-A037-B441-B904-6F24A53B1ED0}">
      <dgm:prSet/>
      <dgm:spPr/>
      <dgm:t>
        <a:bodyPr/>
        <a:lstStyle/>
        <a:p>
          <a:endParaRPr lang="es-ES"/>
        </a:p>
      </dgm:t>
    </dgm:pt>
    <dgm:pt modelId="{39B58062-49CB-AB44-B16F-4B53E331A6A8}" type="sibTrans" cxnId="{91101CB5-A037-B441-B904-6F24A53B1ED0}">
      <dgm:prSet/>
      <dgm:spPr/>
      <dgm:t>
        <a:bodyPr/>
        <a:lstStyle/>
        <a:p>
          <a:endParaRPr lang="es-ES"/>
        </a:p>
      </dgm:t>
    </dgm:pt>
    <dgm:pt modelId="{0ED78719-243F-674B-A93A-823B161241CA}">
      <dgm:prSet/>
      <dgm:spPr>
        <a:solidFill>
          <a:schemeClr val="accent1"/>
        </a:solidFill>
      </dgm:spPr>
      <dgm:t>
        <a:bodyPr/>
        <a:lstStyle/>
        <a:p>
          <a:r>
            <a:rPr lang="es-ES" dirty="0"/>
            <a:t>Barreras</a:t>
          </a:r>
        </a:p>
      </dgm:t>
    </dgm:pt>
    <dgm:pt modelId="{4E01C4F1-0C12-0D42-A22F-456F00B1B23D}" type="parTrans" cxnId="{CBF9C0E1-C168-FD4B-A7AE-C66EF6C232BD}">
      <dgm:prSet/>
      <dgm:spPr/>
      <dgm:t>
        <a:bodyPr/>
        <a:lstStyle/>
        <a:p>
          <a:endParaRPr lang="es-ES"/>
        </a:p>
      </dgm:t>
    </dgm:pt>
    <dgm:pt modelId="{FC24577A-0899-7044-8592-59D9BBE977A9}" type="sibTrans" cxnId="{CBF9C0E1-C168-FD4B-A7AE-C66EF6C232BD}">
      <dgm:prSet/>
      <dgm:spPr/>
      <dgm:t>
        <a:bodyPr/>
        <a:lstStyle/>
        <a:p>
          <a:endParaRPr lang="es-ES"/>
        </a:p>
      </dgm:t>
    </dgm:pt>
    <dgm:pt modelId="{89635E87-FBD8-E643-8BA9-189D636DE7A5}">
      <dgm:prSet/>
      <dgm:spPr/>
      <dgm:t>
        <a:bodyPr/>
        <a:lstStyle/>
        <a:p>
          <a:r>
            <a:rPr lang="es-ES" dirty="0"/>
            <a:t>No Reabsorbibles</a:t>
          </a:r>
        </a:p>
      </dgm:t>
    </dgm:pt>
    <dgm:pt modelId="{C3CF60A6-03FE-ED43-93F8-453B8326A960}" type="parTrans" cxnId="{B31A998E-3BA7-6C45-873C-DCE3B1BE32C9}">
      <dgm:prSet/>
      <dgm:spPr/>
      <dgm:t>
        <a:bodyPr/>
        <a:lstStyle/>
        <a:p>
          <a:endParaRPr lang="es-ES"/>
        </a:p>
      </dgm:t>
    </dgm:pt>
    <dgm:pt modelId="{3063B512-C573-AA41-87BA-4AA898B78604}" type="sibTrans" cxnId="{B31A998E-3BA7-6C45-873C-DCE3B1BE32C9}">
      <dgm:prSet/>
      <dgm:spPr/>
      <dgm:t>
        <a:bodyPr/>
        <a:lstStyle/>
        <a:p>
          <a:endParaRPr lang="es-ES"/>
        </a:p>
      </dgm:t>
    </dgm:pt>
    <dgm:pt modelId="{E3BBCFEE-B179-8744-8459-9D8AC7C77064}">
      <dgm:prSet/>
      <dgm:spPr/>
      <dgm:t>
        <a:bodyPr/>
        <a:lstStyle/>
        <a:p>
          <a:r>
            <a:rPr lang="es-ES" dirty="0"/>
            <a:t>Autoinjerto</a:t>
          </a:r>
        </a:p>
      </dgm:t>
    </dgm:pt>
    <dgm:pt modelId="{BC78B357-8275-5A4E-A53D-48D13D463077}" type="parTrans" cxnId="{F4CBBFB8-8127-B841-8161-A9EB076B87C5}">
      <dgm:prSet/>
      <dgm:spPr/>
      <dgm:t>
        <a:bodyPr/>
        <a:lstStyle/>
        <a:p>
          <a:endParaRPr lang="es-ES"/>
        </a:p>
      </dgm:t>
    </dgm:pt>
    <dgm:pt modelId="{9DC25DEE-0E30-EB48-823A-05E1A2815A99}" type="sibTrans" cxnId="{F4CBBFB8-8127-B841-8161-A9EB076B87C5}">
      <dgm:prSet/>
      <dgm:spPr/>
      <dgm:t>
        <a:bodyPr/>
        <a:lstStyle/>
        <a:p>
          <a:endParaRPr lang="es-ES"/>
        </a:p>
      </dgm:t>
    </dgm:pt>
    <dgm:pt modelId="{527237FC-C508-3A48-823A-AF390E13D637}">
      <dgm:prSet/>
      <dgm:spPr/>
      <dgm:t>
        <a:bodyPr/>
        <a:lstStyle/>
        <a:p>
          <a:r>
            <a:rPr lang="es-ES" dirty="0" err="1"/>
            <a:t>Aloinjerto</a:t>
          </a:r>
          <a:endParaRPr lang="es-ES" dirty="0"/>
        </a:p>
      </dgm:t>
    </dgm:pt>
    <dgm:pt modelId="{709CE273-BB05-594A-B87A-4010D59266DF}" type="parTrans" cxnId="{0A289A85-CDDA-CA41-878B-03E29B3B8366}">
      <dgm:prSet/>
      <dgm:spPr/>
      <dgm:t>
        <a:bodyPr/>
        <a:lstStyle/>
        <a:p>
          <a:endParaRPr lang="es-ES"/>
        </a:p>
      </dgm:t>
    </dgm:pt>
    <dgm:pt modelId="{C7CBB5D9-BD8E-084A-8FE7-7B00CF1FCD37}" type="sibTrans" cxnId="{0A289A85-CDDA-CA41-878B-03E29B3B8366}">
      <dgm:prSet/>
      <dgm:spPr/>
      <dgm:t>
        <a:bodyPr/>
        <a:lstStyle/>
        <a:p>
          <a:endParaRPr lang="es-ES"/>
        </a:p>
      </dgm:t>
    </dgm:pt>
    <dgm:pt modelId="{BE96550D-A890-3240-A817-D0EA1F970F12}">
      <dgm:prSet/>
      <dgm:spPr/>
      <dgm:t>
        <a:bodyPr/>
        <a:lstStyle/>
        <a:p>
          <a:r>
            <a:rPr lang="es-ES" dirty="0" err="1"/>
            <a:t>Xenoinjerto</a:t>
          </a:r>
          <a:endParaRPr lang="es-ES" dirty="0"/>
        </a:p>
      </dgm:t>
    </dgm:pt>
    <dgm:pt modelId="{7CB5C664-9200-6948-A714-CC05416CEAE8}" type="parTrans" cxnId="{42093378-57B8-A440-AD33-946F0396D7F9}">
      <dgm:prSet/>
      <dgm:spPr/>
      <dgm:t>
        <a:bodyPr/>
        <a:lstStyle/>
        <a:p>
          <a:endParaRPr lang="es-ES"/>
        </a:p>
      </dgm:t>
    </dgm:pt>
    <dgm:pt modelId="{92F0F183-BFB5-114B-B982-7A39029C276E}" type="sibTrans" cxnId="{42093378-57B8-A440-AD33-946F0396D7F9}">
      <dgm:prSet/>
      <dgm:spPr/>
      <dgm:t>
        <a:bodyPr/>
        <a:lstStyle/>
        <a:p>
          <a:endParaRPr lang="es-ES"/>
        </a:p>
      </dgm:t>
    </dgm:pt>
    <dgm:pt modelId="{B3BF3134-1529-8346-8225-F8A438A7A728}">
      <dgm:prSet/>
      <dgm:spPr/>
      <dgm:t>
        <a:bodyPr/>
        <a:lstStyle/>
        <a:p>
          <a:r>
            <a:rPr lang="es-ES" dirty="0"/>
            <a:t>Reabsorbibles</a:t>
          </a:r>
        </a:p>
      </dgm:t>
    </dgm:pt>
    <dgm:pt modelId="{8FB8B18B-43B2-9646-ABF1-C28F797C27FC}" type="parTrans" cxnId="{E57F0B2C-F190-764B-A052-94654AAF20B1}">
      <dgm:prSet/>
      <dgm:spPr/>
      <dgm:t>
        <a:bodyPr/>
        <a:lstStyle/>
        <a:p>
          <a:endParaRPr lang="es-ES"/>
        </a:p>
      </dgm:t>
    </dgm:pt>
    <dgm:pt modelId="{BE1FA498-56AE-D545-BD01-B908D6F805FB}" type="sibTrans" cxnId="{E57F0B2C-F190-764B-A052-94654AAF20B1}">
      <dgm:prSet/>
      <dgm:spPr/>
      <dgm:t>
        <a:bodyPr/>
        <a:lstStyle/>
        <a:p>
          <a:endParaRPr lang="es-ES"/>
        </a:p>
      </dgm:t>
    </dgm:pt>
    <dgm:pt modelId="{C6EE7AFC-412C-DF44-9CC8-03E413EA128E}">
      <dgm:prSet/>
      <dgm:spPr/>
      <dgm:t>
        <a:bodyPr/>
        <a:lstStyle/>
        <a:p>
          <a:r>
            <a:rPr lang="es-ES" dirty="0"/>
            <a:t>PTFE</a:t>
          </a:r>
        </a:p>
      </dgm:t>
    </dgm:pt>
    <dgm:pt modelId="{908E9E71-FF12-1842-B2A0-CB9BA79A89F0}" type="parTrans" cxnId="{EBF3CAD2-AF33-EA45-A684-8541B575E874}">
      <dgm:prSet/>
      <dgm:spPr/>
      <dgm:t>
        <a:bodyPr/>
        <a:lstStyle/>
        <a:p>
          <a:endParaRPr lang="es-ES"/>
        </a:p>
      </dgm:t>
    </dgm:pt>
    <dgm:pt modelId="{4BDDD151-9732-D844-9443-1026092210AC}" type="sibTrans" cxnId="{EBF3CAD2-AF33-EA45-A684-8541B575E874}">
      <dgm:prSet/>
      <dgm:spPr/>
      <dgm:t>
        <a:bodyPr/>
        <a:lstStyle/>
        <a:p>
          <a:endParaRPr lang="es-ES"/>
        </a:p>
      </dgm:t>
    </dgm:pt>
    <dgm:pt modelId="{56946D04-804B-E749-8FF5-08A00407F2E9}">
      <dgm:prSet/>
      <dgm:spPr/>
      <dgm:t>
        <a:bodyPr/>
        <a:lstStyle/>
        <a:p>
          <a:r>
            <a:rPr lang="es-ES" dirty="0"/>
            <a:t>Titanio</a:t>
          </a:r>
        </a:p>
      </dgm:t>
    </dgm:pt>
    <dgm:pt modelId="{08DDDDF9-1400-FA40-97E0-6BE4DEA67780}" type="parTrans" cxnId="{F4E49859-8450-504B-82A9-A2E328ED63C8}">
      <dgm:prSet/>
      <dgm:spPr/>
      <dgm:t>
        <a:bodyPr/>
        <a:lstStyle/>
        <a:p>
          <a:endParaRPr lang="es-ES"/>
        </a:p>
      </dgm:t>
    </dgm:pt>
    <dgm:pt modelId="{A10199A8-9F70-D74E-99AE-C4C948D517B1}" type="sibTrans" cxnId="{F4E49859-8450-504B-82A9-A2E328ED63C8}">
      <dgm:prSet/>
      <dgm:spPr/>
      <dgm:t>
        <a:bodyPr/>
        <a:lstStyle/>
        <a:p>
          <a:endParaRPr lang="es-ES"/>
        </a:p>
      </dgm:t>
    </dgm:pt>
    <dgm:pt modelId="{DE147B0B-986A-4E4A-841B-C36269E87A27}">
      <dgm:prSet/>
      <dgm:spPr/>
      <dgm:t>
        <a:bodyPr/>
        <a:lstStyle/>
        <a:p>
          <a:r>
            <a:rPr lang="es-ES" dirty="0"/>
            <a:t>Colágeno Reticulado</a:t>
          </a:r>
        </a:p>
      </dgm:t>
    </dgm:pt>
    <dgm:pt modelId="{1770528E-F79B-1B44-B70B-D7261A4518F9}" type="parTrans" cxnId="{83CF13F1-8A6D-544F-A258-54DE50AEF507}">
      <dgm:prSet/>
      <dgm:spPr/>
      <dgm:t>
        <a:bodyPr/>
        <a:lstStyle/>
        <a:p>
          <a:endParaRPr lang="es-ES"/>
        </a:p>
      </dgm:t>
    </dgm:pt>
    <dgm:pt modelId="{4F10AB24-5856-8B40-8CD5-7A235AE8C092}" type="sibTrans" cxnId="{83CF13F1-8A6D-544F-A258-54DE50AEF507}">
      <dgm:prSet/>
      <dgm:spPr/>
      <dgm:t>
        <a:bodyPr/>
        <a:lstStyle/>
        <a:p>
          <a:endParaRPr lang="es-ES"/>
        </a:p>
      </dgm:t>
    </dgm:pt>
    <dgm:pt modelId="{7CB27BA9-218C-D440-8560-3808D7537860}">
      <dgm:prSet/>
      <dgm:spPr/>
      <dgm:t>
        <a:bodyPr/>
        <a:lstStyle/>
        <a:p>
          <a:r>
            <a:rPr lang="es-ES" dirty="0"/>
            <a:t>Colágeno No Reticulado</a:t>
          </a:r>
        </a:p>
      </dgm:t>
    </dgm:pt>
    <dgm:pt modelId="{DE2DA77A-76F8-EF47-A618-796316721091}" type="parTrans" cxnId="{0875EC77-EC1C-3B47-9BFF-08DF6B4D9258}">
      <dgm:prSet/>
      <dgm:spPr/>
      <dgm:t>
        <a:bodyPr/>
        <a:lstStyle/>
        <a:p>
          <a:endParaRPr lang="es-ES"/>
        </a:p>
      </dgm:t>
    </dgm:pt>
    <dgm:pt modelId="{BC4B8E08-F836-3C43-9EB5-F0D51B9F22AE}" type="sibTrans" cxnId="{0875EC77-EC1C-3B47-9BFF-08DF6B4D9258}">
      <dgm:prSet/>
      <dgm:spPr/>
      <dgm:t>
        <a:bodyPr/>
        <a:lstStyle/>
        <a:p>
          <a:endParaRPr lang="es-ES"/>
        </a:p>
      </dgm:t>
    </dgm:pt>
    <dgm:pt modelId="{CC3853B7-DA50-6741-B501-C5187EAE17B7}">
      <dgm:prSet phldrT="[Texto]"/>
      <dgm:spPr/>
      <dgm:t>
        <a:bodyPr/>
        <a:lstStyle/>
        <a:p>
          <a:r>
            <a:rPr lang="es-ES" dirty="0"/>
            <a:t>Implantes Cortos</a:t>
          </a:r>
        </a:p>
      </dgm:t>
    </dgm:pt>
    <dgm:pt modelId="{6AF1606F-19F0-6F47-94B4-AF5B4C94E8D1}" type="sibTrans" cxnId="{4B78FF9C-D0CA-554C-A2C5-CF76FC5918A1}">
      <dgm:prSet/>
      <dgm:spPr/>
      <dgm:t>
        <a:bodyPr/>
        <a:lstStyle/>
        <a:p>
          <a:endParaRPr lang="es-ES"/>
        </a:p>
      </dgm:t>
    </dgm:pt>
    <dgm:pt modelId="{7D54E9AC-7D12-E14B-81BF-206DBE2D73A5}" type="parTrans" cxnId="{4B78FF9C-D0CA-554C-A2C5-CF76FC5918A1}">
      <dgm:prSet/>
      <dgm:spPr/>
      <dgm:t>
        <a:bodyPr/>
        <a:lstStyle/>
        <a:p>
          <a:endParaRPr lang="es-ES"/>
        </a:p>
      </dgm:t>
    </dgm:pt>
    <dgm:pt modelId="{CD1ED0DC-2E83-834D-A1A2-3CF590B1C2E9}" type="pres">
      <dgm:prSet presAssocID="{AD7DF437-7728-9D4C-927C-C4DBD900EB88}" presName="mainComposite" presStyleCnt="0">
        <dgm:presLayoutVars>
          <dgm:chPref val="1"/>
          <dgm:dir/>
          <dgm:animOne val="branch"/>
          <dgm:animLvl val="lvl"/>
          <dgm:resizeHandles val="exact"/>
        </dgm:presLayoutVars>
      </dgm:prSet>
      <dgm:spPr/>
    </dgm:pt>
    <dgm:pt modelId="{9CF9B07A-3ECC-E942-B836-5A3F7138ABA7}" type="pres">
      <dgm:prSet presAssocID="{AD7DF437-7728-9D4C-927C-C4DBD900EB88}" presName="hierFlow" presStyleCnt="0"/>
      <dgm:spPr/>
    </dgm:pt>
    <dgm:pt modelId="{A4C98D01-8A27-FA4C-9674-55B14413544D}" type="pres">
      <dgm:prSet presAssocID="{AD7DF437-7728-9D4C-927C-C4DBD900EB88}" presName="hierChild1" presStyleCnt="0">
        <dgm:presLayoutVars>
          <dgm:chPref val="1"/>
          <dgm:animOne val="branch"/>
          <dgm:animLvl val="lvl"/>
        </dgm:presLayoutVars>
      </dgm:prSet>
      <dgm:spPr/>
    </dgm:pt>
    <dgm:pt modelId="{77652937-A0E7-5242-A899-ED6B951CB19A}" type="pres">
      <dgm:prSet presAssocID="{A95C443B-71F7-674C-90D7-6A2E46DD036E}" presName="Name14" presStyleCnt="0"/>
      <dgm:spPr/>
    </dgm:pt>
    <dgm:pt modelId="{26B91BCC-4296-F949-BB94-A50A31542FC7}" type="pres">
      <dgm:prSet presAssocID="{A95C443B-71F7-674C-90D7-6A2E46DD036E}" presName="level1Shape" presStyleLbl="node0" presStyleIdx="0" presStyleCnt="1">
        <dgm:presLayoutVars>
          <dgm:chPref val="3"/>
        </dgm:presLayoutVars>
      </dgm:prSet>
      <dgm:spPr/>
    </dgm:pt>
    <dgm:pt modelId="{1B9D5BC8-8A97-F74E-9858-06533F5BC494}" type="pres">
      <dgm:prSet presAssocID="{A95C443B-71F7-674C-90D7-6A2E46DD036E}" presName="hierChild2" presStyleCnt="0"/>
      <dgm:spPr/>
    </dgm:pt>
    <dgm:pt modelId="{65A16288-984A-CE4E-B8D5-CABF596274A4}" type="pres">
      <dgm:prSet presAssocID="{7D54E9AC-7D12-E14B-81BF-206DBE2D73A5}" presName="Name19" presStyleLbl="parChTrans1D2" presStyleIdx="0" presStyleCnt="2"/>
      <dgm:spPr/>
    </dgm:pt>
    <dgm:pt modelId="{5B63C533-2747-374B-9068-9405B0927179}" type="pres">
      <dgm:prSet presAssocID="{CC3853B7-DA50-6741-B501-C5187EAE17B7}" presName="Name21" presStyleCnt="0"/>
      <dgm:spPr/>
    </dgm:pt>
    <dgm:pt modelId="{0F2684B4-04DF-5445-AB19-378A839C1B4E}" type="pres">
      <dgm:prSet presAssocID="{CC3853B7-DA50-6741-B501-C5187EAE17B7}" presName="level2Shape" presStyleLbl="node2" presStyleIdx="0" presStyleCnt="2"/>
      <dgm:spPr/>
    </dgm:pt>
    <dgm:pt modelId="{17E07F51-EA34-164C-92CD-148793D96E99}" type="pres">
      <dgm:prSet presAssocID="{CC3853B7-DA50-6741-B501-C5187EAE17B7}" presName="hierChild3" presStyleCnt="0"/>
      <dgm:spPr/>
    </dgm:pt>
    <dgm:pt modelId="{AD75FB34-6F70-8D47-9DA6-FC4EAD75CFC2}" type="pres">
      <dgm:prSet presAssocID="{8FBA3B73-24EA-CB42-8569-5BEDC47ED258}" presName="Name19" presStyleLbl="parChTrans1D2" presStyleIdx="1" presStyleCnt="2"/>
      <dgm:spPr/>
    </dgm:pt>
    <dgm:pt modelId="{D80BF3F5-52BA-F147-BAF7-9906E2107034}" type="pres">
      <dgm:prSet presAssocID="{02DB5D66-B816-F44E-95C5-26DC7D091505}" presName="Name21" presStyleCnt="0"/>
      <dgm:spPr/>
    </dgm:pt>
    <dgm:pt modelId="{18B4D572-F3B2-F247-8F66-8E71224B3363}" type="pres">
      <dgm:prSet presAssocID="{02DB5D66-B816-F44E-95C5-26DC7D091505}" presName="level2Shape" presStyleLbl="node2" presStyleIdx="1" presStyleCnt="2"/>
      <dgm:spPr/>
    </dgm:pt>
    <dgm:pt modelId="{BFA122B9-FBD6-A646-B583-8719935D4958}" type="pres">
      <dgm:prSet presAssocID="{02DB5D66-B816-F44E-95C5-26DC7D091505}" presName="hierChild3" presStyleCnt="0"/>
      <dgm:spPr/>
    </dgm:pt>
    <dgm:pt modelId="{39363390-E27B-CA4F-B688-B66228752B2E}" type="pres">
      <dgm:prSet presAssocID="{E7991A68-E097-5B47-A538-56A99AFB46D1}" presName="Name19" presStyleLbl="parChTrans1D3" presStyleIdx="0" presStyleCnt="4"/>
      <dgm:spPr/>
    </dgm:pt>
    <dgm:pt modelId="{B75A60D4-96B5-6E46-ABEA-1510AFB38B47}" type="pres">
      <dgm:prSet presAssocID="{5D50ED70-DAF8-284D-B7A2-60CD82006195}" presName="Name21" presStyleCnt="0"/>
      <dgm:spPr/>
    </dgm:pt>
    <dgm:pt modelId="{BA9EE975-BBE8-6C47-8CED-DDCA4EE2F3A4}" type="pres">
      <dgm:prSet presAssocID="{5D50ED70-DAF8-284D-B7A2-60CD82006195}" presName="level2Shape" presStyleLbl="node3" presStyleIdx="0" presStyleCnt="4"/>
      <dgm:spPr/>
    </dgm:pt>
    <dgm:pt modelId="{1F37CB04-DBB2-A44E-BA28-2A8780A0E33E}" type="pres">
      <dgm:prSet presAssocID="{5D50ED70-DAF8-284D-B7A2-60CD82006195}" presName="hierChild3" presStyleCnt="0"/>
      <dgm:spPr/>
    </dgm:pt>
    <dgm:pt modelId="{38CBF0AB-27CF-0645-A0AA-E18C1BE36563}" type="pres">
      <dgm:prSet presAssocID="{5B5B2B0A-EDD2-794C-846C-D4AE0C43A1BB}" presName="Name19" presStyleLbl="parChTrans1D3" presStyleIdx="1" presStyleCnt="4"/>
      <dgm:spPr/>
    </dgm:pt>
    <dgm:pt modelId="{393DB2BD-360E-3A4B-8900-4D48289B488F}" type="pres">
      <dgm:prSet presAssocID="{E4AF98D2-88B8-8143-A151-036829785FA2}" presName="Name21" presStyleCnt="0"/>
      <dgm:spPr/>
    </dgm:pt>
    <dgm:pt modelId="{19FCAE82-7D5E-A442-82E3-6F37278188CA}" type="pres">
      <dgm:prSet presAssocID="{E4AF98D2-88B8-8143-A151-036829785FA2}" presName="level2Shape" presStyleLbl="node3" presStyleIdx="1" presStyleCnt="4"/>
      <dgm:spPr/>
    </dgm:pt>
    <dgm:pt modelId="{47AFD9BD-B603-F845-83C4-FB10F6E87E5D}" type="pres">
      <dgm:prSet presAssocID="{E4AF98D2-88B8-8143-A151-036829785FA2}" presName="hierChild3" presStyleCnt="0"/>
      <dgm:spPr/>
    </dgm:pt>
    <dgm:pt modelId="{7393B204-5FB8-014B-97AF-236ACC59193D}" type="pres">
      <dgm:prSet presAssocID="{FEEC523C-D01B-274A-8CAA-00878063FDE1}" presName="Name19" presStyleLbl="parChTrans1D3" presStyleIdx="2" presStyleCnt="4"/>
      <dgm:spPr/>
    </dgm:pt>
    <dgm:pt modelId="{9D9DB546-EE97-0B4B-B9C3-F35CC4EC6AAC}" type="pres">
      <dgm:prSet presAssocID="{A5F909A6-4198-CF44-BD35-03D270CE4218}" presName="Name21" presStyleCnt="0"/>
      <dgm:spPr/>
    </dgm:pt>
    <dgm:pt modelId="{545676D3-05DF-EF41-80E7-0CCBEEC8E79B}" type="pres">
      <dgm:prSet presAssocID="{A5F909A6-4198-CF44-BD35-03D270CE4218}" presName="level2Shape" presStyleLbl="node3" presStyleIdx="2" presStyleCnt="4"/>
      <dgm:spPr/>
    </dgm:pt>
    <dgm:pt modelId="{EA79E588-F995-9D4F-BAF8-6BD6B6F4BB36}" type="pres">
      <dgm:prSet presAssocID="{A5F909A6-4198-CF44-BD35-03D270CE4218}" presName="hierChild3" presStyleCnt="0"/>
      <dgm:spPr/>
    </dgm:pt>
    <dgm:pt modelId="{17E2EB9B-C0E4-4546-A7D6-51FDC59D1E2E}" type="pres">
      <dgm:prSet presAssocID="{2F6B654E-63EF-BE44-99B4-187BD7B0956E}" presName="Name19" presStyleLbl="parChTrans1D3" presStyleIdx="3" presStyleCnt="4"/>
      <dgm:spPr/>
    </dgm:pt>
    <dgm:pt modelId="{F93DDBA5-1206-6A49-859F-E4C41721181B}" type="pres">
      <dgm:prSet presAssocID="{0FE36328-FE1E-2940-AAFA-E53F930078B8}" presName="Name21" presStyleCnt="0"/>
      <dgm:spPr/>
    </dgm:pt>
    <dgm:pt modelId="{AA5E7BA3-B324-B245-90A9-07047652D101}" type="pres">
      <dgm:prSet presAssocID="{0FE36328-FE1E-2940-AAFA-E53F930078B8}" presName="level2Shape" presStyleLbl="node3" presStyleIdx="3" presStyleCnt="4" custScaleX="202569" custScaleY="163773"/>
      <dgm:spPr/>
    </dgm:pt>
    <dgm:pt modelId="{3A7A97D6-FBEC-4544-BE93-E724CE915F54}" type="pres">
      <dgm:prSet presAssocID="{0FE36328-FE1E-2940-AAFA-E53F930078B8}" presName="hierChild3" presStyleCnt="0"/>
      <dgm:spPr/>
    </dgm:pt>
    <dgm:pt modelId="{AAF1F5E6-17EC-8A4F-92EC-4AD127BB34EE}" type="pres">
      <dgm:prSet presAssocID="{ECB91F1F-ED4C-DB40-B31E-71E9B2E1FCAD}" presName="Name19" presStyleLbl="parChTrans1D4" presStyleIdx="0" presStyleCnt="11"/>
      <dgm:spPr/>
    </dgm:pt>
    <dgm:pt modelId="{97E59210-EBCC-3B49-9100-8E7CC1C2BBC3}" type="pres">
      <dgm:prSet presAssocID="{790F92E4-48B2-5E43-8BE7-730FA0278EE0}" presName="Name21" presStyleCnt="0"/>
      <dgm:spPr/>
    </dgm:pt>
    <dgm:pt modelId="{D6622B07-4BAB-FE4D-8DCE-074CE54C346D}" type="pres">
      <dgm:prSet presAssocID="{790F92E4-48B2-5E43-8BE7-730FA0278EE0}" presName="level2Shape" presStyleLbl="node4" presStyleIdx="0" presStyleCnt="11"/>
      <dgm:spPr/>
    </dgm:pt>
    <dgm:pt modelId="{780CDDFF-36E6-694D-A11D-8102CC0F721D}" type="pres">
      <dgm:prSet presAssocID="{790F92E4-48B2-5E43-8BE7-730FA0278EE0}" presName="hierChild3" presStyleCnt="0"/>
      <dgm:spPr/>
    </dgm:pt>
    <dgm:pt modelId="{E70D3CFE-E8A2-1B43-B065-B2430ECF001B}" type="pres">
      <dgm:prSet presAssocID="{BC78B357-8275-5A4E-A53D-48D13D463077}" presName="Name19" presStyleLbl="parChTrans1D4" presStyleIdx="1" presStyleCnt="11"/>
      <dgm:spPr/>
    </dgm:pt>
    <dgm:pt modelId="{86949BD3-FDDC-C246-854A-A7F663F14084}" type="pres">
      <dgm:prSet presAssocID="{E3BBCFEE-B179-8744-8459-9D8AC7C77064}" presName="Name21" presStyleCnt="0"/>
      <dgm:spPr/>
    </dgm:pt>
    <dgm:pt modelId="{7DF1D1EA-1D37-844E-B5E8-5D58C91D47D5}" type="pres">
      <dgm:prSet presAssocID="{E3BBCFEE-B179-8744-8459-9D8AC7C77064}" presName="level2Shape" presStyleLbl="node4" presStyleIdx="1" presStyleCnt="11"/>
      <dgm:spPr/>
    </dgm:pt>
    <dgm:pt modelId="{9582DFD2-3112-3745-8090-FED55444A517}" type="pres">
      <dgm:prSet presAssocID="{E3BBCFEE-B179-8744-8459-9D8AC7C77064}" presName="hierChild3" presStyleCnt="0"/>
      <dgm:spPr/>
    </dgm:pt>
    <dgm:pt modelId="{30C3279D-E62B-EA45-9E0E-7541853AE1EA}" type="pres">
      <dgm:prSet presAssocID="{709CE273-BB05-594A-B87A-4010D59266DF}" presName="Name19" presStyleLbl="parChTrans1D4" presStyleIdx="2" presStyleCnt="11"/>
      <dgm:spPr/>
    </dgm:pt>
    <dgm:pt modelId="{34732A50-7761-7D4D-9F59-2A7296F417C8}" type="pres">
      <dgm:prSet presAssocID="{527237FC-C508-3A48-823A-AF390E13D637}" presName="Name21" presStyleCnt="0"/>
      <dgm:spPr/>
    </dgm:pt>
    <dgm:pt modelId="{D16887C7-C99C-8B4C-9144-8F2B5505DB09}" type="pres">
      <dgm:prSet presAssocID="{527237FC-C508-3A48-823A-AF390E13D637}" presName="level2Shape" presStyleLbl="node4" presStyleIdx="2" presStyleCnt="11"/>
      <dgm:spPr/>
    </dgm:pt>
    <dgm:pt modelId="{B3B2EDDB-DF61-8547-895B-8194408286DD}" type="pres">
      <dgm:prSet presAssocID="{527237FC-C508-3A48-823A-AF390E13D637}" presName="hierChild3" presStyleCnt="0"/>
      <dgm:spPr/>
    </dgm:pt>
    <dgm:pt modelId="{C8650225-3A22-3443-8E83-8482033093F1}" type="pres">
      <dgm:prSet presAssocID="{7CB5C664-9200-6948-A714-CC05416CEAE8}" presName="Name19" presStyleLbl="parChTrans1D4" presStyleIdx="3" presStyleCnt="11"/>
      <dgm:spPr/>
    </dgm:pt>
    <dgm:pt modelId="{9CDC1575-5C9B-B344-AF6A-F6F7EF7B6F45}" type="pres">
      <dgm:prSet presAssocID="{BE96550D-A890-3240-A817-D0EA1F970F12}" presName="Name21" presStyleCnt="0"/>
      <dgm:spPr/>
    </dgm:pt>
    <dgm:pt modelId="{6A84BF5C-B295-D046-812C-A39FDFE93DE5}" type="pres">
      <dgm:prSet presAssocID="{BE96550D-A890-3240-A817-D0EA1F970F12}" presName="level2Shape" presStyleLbl="node4" presStyleIdx="3" presStyleCnt="11"/>
      <dgm:spPr/>
    </dgm:pt>
    <dgm:pt modelId="{72B29136-C50D-3943-ACD0-14E9EFC79114}" type="pres">
      <dgm:prSet presAssocID="{BE96550D-A890-3240-A817-D0EA1F970F12}" presName="hierChild3" presStyleCnt="0"/>
      <dgm:spPr/>
    </dgm:pt>
    <dgm:pt modelId="{7F19B1A4-B0A3-F046-B94F-54BB8762CBA5}" type="pres">
      <dgm:prSet presAssocID="{4E01C4F1-0C12-0D42-A22F-456F00B1B23D}" presName="Name19" presStyleLbl="parChTrans1D4" presStyleIdx="4" presStyleCnt="11"/>
      <dgm:spPr/>
    </dgm:pt>
    <dgm:pt modelId="{656EE30D-C9B2-634B-B53B-77B7D00D3E99}" type="pres">
      <dgm:prSet presAssocID="{0ED78719-243F-674B-A93A-823B161241CA}" presName="Name21" presStyleCnt="0"/>
      <dgm:spPr/>
    </dgm:pt>
    <dgm:pt modelId="{0C79F12B-1F53-7944-9FC4-E0F1D2365A53}" type="pres">
      <dgm:prSet presAssocID="{0ED78719-243F-674B-A93A-823B161241CA}" presName="level2Shape" presStyleLbl="node4" presStyleIdx="4" presStyleCnt="11"/>
      <dgm:spPr/>
    </dgm:pt>
    <dgm:pt modelId="{5B565384-3233-0A47-9AE2-4CE2CCAAE21A}" type="pres">
      <dgm:prSet presAssocID="{0ED78719-243F-674B-A93A-823B161241CA}" presName="hierChild3" presStyleCnt="0"/>
      <dgm:spPr/>
    </dgm:pt>
    <dgm:pt modelId="{588C80D2-FA4B-1A49-960E-C8A09E0A510D}" type="pres">
      <dgm:prSet presAssocID="{C3CF60A6-03FE-ED43-93F8-453B8326A960}" presName="Name19" presStyleLbl="parChTrans1D4" presStyleIdx="5" presStyleCnt="11"/>
      <dgm:spPr/>
    </dgm:pt>
    <dgm:pt modelId="{6BAEF713-18B9-284F-9B41-53F946C8117E}" type="pres">
      <dgm:prSet presAssocID="{89635E87-FBD8-E643-8BA9-189D636DE7A5}" presName="Name21" presStyleCnt="0"/>
      <dgm:spPr/>
    </dgm:pt>
    <dgm:pt modelId="{936D5F01-0DD2-AB4E-BE84-C438A84277FB}" type="pres">
      <dgm:prSet presAssocID="{89635E87-FBD8-E643-8BA9-189D636DE7A5}" presName="level2Shape" presStyleLbl="node4" presStyleIdx="5" presStyleCnt="11"/>
      <dgm:spPr/>
    </dgm:pt>
    <dgm:pt modelId="{1D89F17B-7369-B948-BEFC-FC6AB9682CF7}" type="pres">
      <dgm:prSet presAssocID="{89635E87-FBD8-E643-8BA9-189D636DE7A5}" presName="hierChild3" presStyleCnt="0"/>
      <dgm:spPr/>
    </dgm:pt>
    <dgm:pt modelId="{DB2DAD40-74E6-4B43-9581-0565B02DD0A4}" type="pres">
      <dgm:prSet presAssocID="{908E9E71-FF12-1842-B2A0-CB9BA79A89F0}" presName="Name19" presStyleLbl="parChTrans1D4" presStyleIdx="6" presStyleCnt="11"/>
      <dgm:spPr/>
    </dgm:pt>
    <dgm:pt modelId="{FB996C2E-3CD8-BC4A-B298-5E26693A3BAA}" type="pres">
      <dgm:prSet presAssocID="{C6EE7AFC-412C-DF44-9CC8-03E413EA128E}" presName="Name21" presStyleCnt="0"/>
      <dgm:spPr/>
    </dgm:pt>
    <dgm:pt modelId="{8D40DF02-31FD-E54B-8B70-EB57625A6E1F}" type="pres">
      <dgm:prSet presAssocID="{C6EE7AFC-412C-DF44-9CC8-03E413EA128E}" presName="level2Shape" presStyleLbl="node4" presStyleIdx="6" presStyleCnt="11"/>
      <dgm:spPr/>
    </dgm:pt>
    <dgm:pt modelId="{AFF39117-0644-6B4C-B5BD-A20DE65F37D7}" type="pres">
      <dgm:prSet presAssocID="{C6EE7AFC-412C-DF44-9CC8-03E413EA128E}" presName="hierChild3" presStyleCnt="0"/>
      <dgm:spPr/>
    </dgm:pt>
    <dgm:pt modelId="{424EB1F1-0457-8A43-AC28-42A7F6C924B6}" type="pres">
      <dgm:prSet presAssocID="{08DDDDF9-1400-FA40-97E0-6BE4DEA67780}" presName="Name19" presStyleLbl="parChTrans1D4" presStyleIdx="7" presStyleCnt="11"/>
      <dgm:spPr/>
    </dgm:pt>
    <dgm:pt modelId="{4A14124C-BB00-A944-AE26-D6C435E990C8}" type="pres">
      <dgm:prSet presAssocID="{56946D04-804B-E749-8FF5-08A00407F2E9}" presName="Name21" presStyleCnt="0"/>
      <dgm:spPr/>
    </dgm:pt>
    <dgm:pt modelId="{382F42C9-DBF7-7340-ADF6-8EA39B409224}" type="pres">
      <dgm:prSet presAssocID="{56946D04-804B-E749-8FF5-08A00407F2E9}" presName="level2Shape" presStyleLbl="node4" presStyleIdx="7" presStyleCnt="11"/>
      <dgm:spPr/>
    </dgm:pt>
    <dgm:pt modelId="{95149D7E-7167-2649-BDD6-5160E45B21D8}" type="pres">
      <dgm:prSet presAssocID="{56946D04-804B-E749-8FF5-08A00407F2E9}" presName="hierChild3" presStyleCnt="0"/>
      <dgm:spPr/>
    </dgm:pt>
    <dgm:pt modelId="{55508235-7EBC-7E4E-852A-8FC74F0F7910}" type="pres">
      <dgm:prSet presAssocID="{8FB8B18B-43B2-9646-ABF1-C28F797C27FC}" presName="Name19" presStyleLbl="parChTrans1D4" presStyleIdx="8" presStyleCnt="11"/>
      <dgm:spPr/>
    </dgm:pt>
    <dgm:pt modelId="{F0663474-E3D2-954D-B408-0FBBF2F637B0}" type="pres">
      <dgm:prSet presAssocID="{B3BF3134-1529-8346-8225-F8A438A7A728}" presName="Name21" presStyleCnt="0"/>
      <dgm:spPr/>
    </dgm:pt>
    <dgm:pt modelId="{69C7AE7F-D9CF-AD4D-83FE-5776250BB6E1}" type="pres">
      <dgm:prSet presAssocID="{B3BF3134-1529-8346-8225-F8A438A7A728}" presName="level2Shape" presStyleLbl="node4" presStyleIdx="8" presStyleCnt="11"/>
      <dgm:spPr/>
    </dgm:pt>
    <dgm:pt modelId="{9FC5DE70-747D-0A49-BA80-9078B5A12493}" type="pres">
      <dgm:prSet presAssocID="{B3BF3134-1529-8346-8225-F8A438A7A728}" presName="hierChild3" presStyleCnt="0"/>
      <dgm:spPr/>
    </dgm:pt>
    <dgm:pt modelId="{0E040572-667C-4943-8D43-5B2E70A12DA5}" type="pres">
      <dgm:prSet presAssocID="{1770528E-F79B-1B44-B70B-D7261A4518F9}" presName="Name19" presStyleLbl="parChTrans1D4" presStyleIdx="9" presStyleCnt="11"/>
      <dgm:spPr/>
    </dgm:pt>
    <dgm:pt modelId="{7392699F-0CB7-434E-A4B9-F123586F0F6B}" type="pres">
      <dgm:prSet presAssocID="{DE147B0B-986A-4E4A-841B-C36269E87A27}" presName="Name21" presStyleCnt="0"/>
      <dgm:spPr/>
    </dgm:pt>
    <dgm:pt modelId="{3D35889D-7E72-AC4A-A6BC-6F8872611F43}" type="pres">
      <dgm:prSet presAssocID="{DE147B0B-986A-4E4A-841B-C36269E87A27}" presName="level2Shape" presStyleLbl="node4" presStyleIdx="9" presStyleCnt="11"/>
      <dgm:spPr/>
    </dgm:pt>
    <dgm:pt modelId="{AFB167E3-4637-DC49-93AB-0DA0F3C47CEC}" type="pres">
      <dgm:prSet presAssocID="{DE147B0B-986A-4E4A-841B-C36269E87A27}" presName="hierChild3" presStyleCnt="0"/>
      <dgm:spPr/>
    </dgm:pt>
    <dgm:pt modelId="{5294843D-9A65-884C-ABB3-36F892486622}" type="pres">
      <dgm:prSet presAssocID="{DE2DA77A-76F8-EF47-A618-796316721091}" presName="Name19" presStyleLbl="parChTrans1D4" presStyleIdx="10" presStyleCnt="11"/>
      <dgm:spPr/>
    </dgm:pt>
    <dgm:pt modelId="{BC42C2B5-15AE-CA4E-B1D2-F12B5CD793A7}" type="pres">
      <dgm:prSet presAssocID="{7CB27BA9-218C-D440-8560-3808D7537860}" presName="Name21" presStyleCnt="0"/>
      <dgm:spPr/>
    </dgm:pt>
    <dgm:pt modelId="{C32B9EA2-F1D3-6A4C-95C3-26395F0D8924}" type="pres">
      <dgm:prSet presAssocID="{7CB27BA9-218C-D440-8560-3808D7537860}" presName="level2Shape" presStyleLbl="node4" presStyleIdx="10" presStyleCnt="11"/>
      <dgm:spPr/>
    </dgm:pt>
    <dgm:pt modelId="{85E23E00-A5CE-CD40-961D-12DD3E99333C}" type="pres">
      <dgm:prSet presAssocID="{7CB27BA9-218C-D440-8560-3808D7537860}" presName="hierChild3" presStyleCnt="0"/>
      <dgm:spPr/>
    </dgm:pt>
    <dgm:pt modelId="{049293D4-954B-8B4C-8955-2FC9134AC439}" type="pres">
      <dgm:prSet presAssocID="{AD7DF437-7728-9D4C-927C-C4DBD900EB88}" presName="bgShapesFlow" presStyleCnt="0"/>
      <dgm:spPr/>
    </dgm:pt>
  </dgm:ptLst>
  <dgm:cxnLst>
    <dgm:cxn modelId="{25EC6101-975E-014C-A102-54A9DD43C9A4}" type="presOf" srcId="{A95C443B-71F7-674C-90D7-6A2E46DD036E}" destId="{26B91BCC-4296-F949-BB94-A50A31542FC7}" srcOrd="0" destOrd="0" presId="urn:microsoft.com/office/officeart/2005/8/layout/hierarchy6"/>
    <dgm:cxn modelId="{95F4900A-8D52-544C-8C88-EFDA7DA10712}" type="presOf" srcId="{C3CF60A6-03FE-ED43-93F8-453B8326A960}" destId="{588C80D2-FA4B-1A49-960E-C8A09E0A510D}" srcOrd="0" destOrd="0" presId="urn:microsoft.com/office/officeart/2005/8/layout/hierarchy6"/>
    <dgm:cxn modelId="{5943EE0A-71F1-E24A-9261-A5E80E6DCBF9}" type="presOf" srcId="{B3BF3134-1529-8346-8225-F8A438A7A728}" destId="{69C7AE7F-D9CF-AD4D-83FE-5776250BB6E1}" srcOrd="0" destOrd="0" presId="urn:microsoft.com/office/officeart/2005/8/layout/hierarchy6"/>
    <dgm:cxn modelId="{FD69A50B-8904-E749-8A5D-D8EADE9C7F0E}" type="presOf" srcId="{7CB27BA9-218C-D440-8560-3808D7537860}" destId="{C32B9EA2-F1D3-6A4C-95C3-26395F0D8924}" srcOrd="0" destOrd="0" presId="urn:microsoft.com/office/officeart/2005/8/layout/hierarchy6"/>
    <dgm:cxn modelId="{782D0811-46FF-8247-BD8E-117B804549B0}" type="presOf" srcId="{908E9E71-FF12-1842-B2A0-CB9BA79A89F0}" destId="{DB2DAD40-74E6-4B43-9581-0565B02DD0A4}" srcOrd="0" destOrd="0" presId="urn:microsoft.com/office/officeart/2005/8/layout/hierarchy6"/>
    <dgm:cxn modelId="{03511A16-200D-CB44-883E-FD065C8B0B41}" type="presOf" srcId="{DE2DA77A-76F8-EF47-A618-796316721091}" destId="{5294843D-9A65-884C-ABB3-36F892486622}" srcOrd="0" destOrd="0" presId="urn:microsoft.com/office/officeart/2005/8/layout/hierarchy6"/>
    <dgm:cxn modelId="{7930D81C-4F26-ED4D-983B-F473057534F5}" type="presOf" srcId="{4E01C4F1-0C12-0D42-A22F-456F00B1B23D}" destId="{7F19B1A4-B0A3-F046-B94F-54BB8762CBA5}" srcOrd="0" destOrd="0" presId="urn:microsoft.com/office/officeart/2005/8/layout/hierarchy6"/>
    <dgm:cxn modelId="{57B7A720-2111-C74A-A0D2-06D0F8799F90}" type="presOf" srcId="{527237FC-C508-3A48-823A-AF390E13D637}" destId="{D16887C7-C99C-8B4C-9144-8F2B5505DB09}" srcOrd="0" destOrd="0" presId="urn:microsoft.com/office/officeart/2005/8/layout/hierarchy6"/>
    <dgm:cxn modelId="{51157428-42D3-5848-A1F7-5394CCCF0B2B}" srcId="{02DB5D66-B816-F44E-95C5-26DC7D091505}" destId="{A5F909A6-4198-CF44-BD35-03D270CE4218}" srcOrd="2" destOrd="0" parTransId="{FEEC523C-D01B-274A-8CAA-00878063FDE1}" sibTransId="{2DD351FA-2812-434A-9E06-E89A0CDC93BD}"/>
    <dgm:cxn modelId="{E57F0B2C-F190-764B-A052-94654AAF20B1}" srcId="{0ED78719-243F-674B-A93A-823B161241CA}" destId="{B3BF3134-1529-8346-8225-F8A438A7A728}" srcOrd="1" destOrd="0" parTransId="{8FB8B18B-43B2-9646-ABF1-C28F797C27FC}" sibTransId="{BE1FA498-56AE-D545-BD01-B908D6F805FB}"/>
    <dgm:cxn modelId="{4CC99A38-EF49-BE49-AA50-B3E8AF5D5F95}" type="presOf" srcId="{BC78B357-8275-5A4E-A53D-48D13D463077}" destId="{E70D3CFE-E8A2-1B43-B065-B2430ECF001B}" srcOrd="0" destOrd="0" presId="urn:microsoft.com/office/officeart/2005/8/layout/hierarchy6"/>
    <dgm:cxn modelId="{A284B447-6105-E846-ACB3-B9F1C88696F5}" type="presOf" srcId="{2F6B654E-63EF-BE44-99B4-187BD7B0956E}" destId="{17E2EB9B-C0E4-4546-A7D6-51FDC59D1E2E}" srcOrd="0" destOrd="0" presId="urn:microsoft.com/office/officeart/2005/8/layout/hierarchy6"/>
    <dgm:cxn modelId="{238E7649-D751-CB47-942D-8B230F64AADE}" type="presOf" srcId="{ECB91F1F-ED4C-DB40-B31E-71E9B2E1FCAD}" destId="{AAF1F5E6-17EC-8A4F-92EC-4AD127BB34EE}" srcOrd="0" destOrd="0" presId="urn:microsoft.com/office/officeart/2005/8/layout/hierarchy6"/>
    <dgm:cxn modelId="{ECE57F49-E110-4949-AA1D-A8A59E804DA1}" type="presOf" srcId="{709CE273-BB05-594A-B87A-4010D59266DF}" destId="{30C3279D-E62B-EA45-9E0E-7541853AE1EA}" srcOrd="0" destOrd="0" presId="urn:microsoft.com/office/officeart/2005/8/layout/hierarchy6"/>
    <dgm:cxn modelId="{B2B34E50-6F62-DA43-9796-B06B04E15A69}" srcId="{AD7DF437-7728-9D4C-927C-C4DBD900EB88}" destId="{A95C443B-71F7-674C-90D7-6A2E46DD036E}" srcOrd="0" destOrd="0" parTransId="{A012FA0A-020A-4749-9862-ED0D84D83E20}" sibTransId="{80C508FD-6E6F-034E-98B3-9C486A985F96}"/>
    <dgm:cxn modelId="{D4C3F955-59C3-7649-B76C-CA5352243073}" type="presOf" srcId="{A5F909A6-4198-CF44-BD35-03D270CE4218}" destId="{545676D3-05DF-EF41-80E7-0CCBEEC8E79B}" srcOrd="0" destOrd="0" presId="urn:microsoft.com/office/officeart/2005/8/layout/hierarchy6"/>
    <dgm:cxn modelId="{13977257-4069-6242-B48D-3AE180D60C2F}" type="presOf" srcId="{5D50ED70-DAF8-284D-B7A2-60CD82006195}" destId="{BA9EE975-BBE8-6C47-8CED-DDCA4EE2F3A4}" srcOrd="0" destOrd="0" presId="urn:microsoft.com/office/officeart/2005/8/layout/hierarchy6"/>
    <dgm:cxn modelId="{F4E49859-8450-504B-82A9-A2E328ED63C8}" srcId="{89635E87-FBD8-E643-8BA9-189D636DE7A5}" destId="{56946D04-804B-E749-8FF5-08A00407F2E9}" srcOrd="1" destOrd="0" parTransId="{08DDDDF9-1400-FA40-97E0-6BE4DEA67780}" sibTransId="{A10199A8-9F70-D74E-99AE-C4C948D517B1}"/>
    <dgm:cxn modelId="{CD6ADB61-0492-A74C-8BCF-9F9C42C543B2}" type="presOf" srcId="{7D54E9AC-7D12-E14B-81BF-206DBE2D73A5}" destId="{65A16288-984A-CE4E-B8D5-CABF596274A4}" srcOrd="0" destOrd="0" presId="urn:microsoft.com/office/officeart/2005/8/layout/hierarchy6"/>
    <dgm:cxn modelId="{06D9FE65-A0EF-0846-825C-FC302C3B8000}" type="presOf" srcId="{08DDDDF9-1400-FA40-97E0-6BE4DEA67780}" destId="{424EB1F1-0457-8A43-AC28-42A7F6C924B6}" srcOrd="0" destOrd="0" presId="urn:microsoft.com/office/officeart/2005/8/layout/hierarchy6"/>
    <dgm:cxn modelId="{9919756A-BEEE-8A4B-9633-39A76AD7CD95}" srcId="{02DB5D66-B816-F44E-95C5-26DC7D091505}" destId="{5D50ED70-DAF8-284D-B7A2-60CD82006195}" srcOrd="0" destOrd="0" parTransId="{E7991A68-E097-5B47-A538-56A99AFB46D1}" sibTransId="{6392D4F3-E0DF-534A-8458-F8E3E4F41666}"/>
    <dgm:cxn modelId="{4C7EFF71-2B0F-9148-914D-98FB74FBB6A6}" type="presOf" srcId="{DE147B0B-986A-4E4A-841B-C36269E87A27}" destId="{3D35889D-7E72-AC4A-A6BC-6F8872611F43}" srcOrd="0" destOrd="0" presId="urn:microsoft.com/office/officeart/2005/8/layout/hierarchy6"/>
    <dgm:cxn modelId="{E9DF9077-4522-6D43-A1A8-3C3957552C63}" type="presOf" srcId="{AD7DF437-7728-9D4C-927C-C4DBD900EB88}" destId="{CD1ED0DC-2E83-834D-A1A2-3CF590B1C2E9}" srcOrd="0" destOrd="0" presId="urn:microsoft.com/office/officeart/2005/8/layout/hierarchy6"/>
    <dgm:cxn modelId="{0875EC77-EC1C-3B47-9BFF-08DF6B4D9258}" srcId="{B3BF3134-1529-8346-8225-F8A438A7A728}" destId="{7CB27BA9-218C-D440-8560-3808D7537860}" srcOrd="1" destOrd="0" parTransId="{DE2DA77A-76F8-EF47-A618-796316721091}" sibTransId="{BC4B8E08-F836-3C43-9EB5-F0D51B9F22AE}"/>
    <dgm:cxn modelId="{42093378-57B8-A440-AD33-946F0396D7F9}" srcId="{790F92E4-48B2-5E43-8BE7-730FA0278EE0}" destId="{BE96550D-A890-3240-A817-D0EA1F970F12}" srcOrd="2" destOrd="0" parTransId="{7CB5C664-9200-6948-A714-CC05416CEAE8}" sibTransId="{92F0F183-BFB5-114B-B982-7A39029C276E}"/>
    <dgm:cxn modelId="{0A289A85-CDDA-CA41-878B-03E29B3B8366}" srcId="{790F92E4-48B2-5E43-8BE7-730FA0278EE0}" destId="{527237FC-C508-3A48-823A-AF390E13D637}" srcOrd="1" destOrd="0" parTransId="{709CE273-BB05-594A-B87A-4010D59266DF}" sibTransId="{C7CBB5D9-BD8E-084A-8FE7-7B00CF1FCD37}"/>
    <dgm:cxn modelId="{AFC2AF88-3A05-0349-A0C2-C9E8BF595112}" type="presOf" srcId="{E3BBCFEE-B179-8744-8459-9D8AC7C77064}" destId="{7DF1D1EA-1D37-844E-B5E8-5D58C91D47D5}" srcOrd="0" destOrd="0" presId="urn:microsoft.com/office/officeart/2005/8/layout/hierarchy6"/>
    <dgm:cxn modelId="{B31A998E-3BA7-6C45-873C-DCE3B1BE32C9}" srcId="{0ED78719-243F-674B-A93A-823B161241CA}" destId="{89635E87-FBD8-E643-8BA9-189D636DE7A5}" srcOrd="0" destOrd="0" parTransId="{C3CF60A6-03FE-ED43-93F8-453B8326A960}" sibTransId="{3063B512-C573-AA41-87BA-4AA898B78604}"/>
    <dgm:cxn modelId="{A56A8D95-7190-7A41-942B-347E21377B2E}" type="presOf" srcId="{0ED78719-243F-674B-A93A-823B161241CA}" destId="{0C79F12B-1F53-7944-9FC4-E0F1D2365A53}" srcOrd="0" destOrd="0" presId="urn:microsoft.com/office/officeart/2005/8/layout/hierarchy6"/>
    <dgm:cxn modelId="{7BD1AA95-694F-D24D-B298-01E9D15C96F7}" type="presOf" srcId="{BE96550D-A890-3240-A817-D0EA1F970F12}" destId="{6A84BF5C-B295-D046-812C-A39FDFE93DE5}" srcOrd="0" destOrd="0" presId="urn:microsoft.com/office/officeart/2005/8/layout/hierarchy6"/>
    <dgm:cxn modelId="{B97FD495-7839-BB41-B669-885F2F191FF8}" srcId="{A95C443B-71F7-674C-90D7-6A2E46DD036E}" destId="{02DB5D66-B816-F44E-95C5-26DC7D091505}" srcOrd="1" destOrd="0" parTransId="{8FBA3B73-24EA-CB42-8569-5BEDC47ED258}" sibTransId="{21127C1B-E52C-AB44-BC98-C2B62A6E9B34}"/>
    <dgm:cxn modelId="{B378C097-DA3D-724B-8E6B-1E7135F67156}" type="presOf" srcId="{E4AF98D2-88B8-8143-A151-036829785FA2}" destId="{19FCAE82-7D5E-A442-82E3-6F37278188CA}" srcOrd="0" destOrd="0" presId="urn:microsoft.com/office/officeart/2005/8/layout/hierarchy6"/>
    <dgm:cxn modelId="{D1E9829B-027D-B041-8191-B7EBFD3F03E5}" type="presOf" srcId="{56946D04-804B-E749-8FF5-08A00407F2E9}" destId="{382F42C9-DBF7-7340-ADF6-8EA39B409224}" srcOrd="0" destOrd="0" presId="urn:microsoft.com/office/officeart/2005/8/layout/hierarchy6"/>
    <dgm:cxn modelId="{891B589C-2D27-C842-A20E-AAD6A73D874C}" type="presOf" srcId="{C6EE7AFC-412C-DF44-9CC8-03E413EA128E}" destId="{8D40DF02-31FD-E54B-8B70-EB57625A6E1F}" srcOrd="0" destOrd="0" presId="urn:microsoft.com/office/officeart/2005/8/layout/hierarchy6"/>
    <dgm:cxn modelId="{4B78FF9C-D0CA-554C-A2C5-CF76FC5918A1}" srcId="{A95C443B-71F7-674C-90D7-6A2E46DD036E}" destId="{CC3853B7-DA50-6741-B501-C5187EAE17B7}" srcOrd="0" destOrd="0" parTransId="{7D54E9AC-7D12-E14B-81BF-206DBE2D73A5}" sibTransId="{6AF1606F-19F0-6F47-94B4-AF5B4C94E8D1}"/>
    <dgm:cxn modelId="{683C7C9D-6B20-A040-88AB-59884C8F428F}" type="presOf" srcId="{E7991A68-E097-5B47-A538-56A99AFB46D1}" destId="{39363390-E27B-CA4F-B688-B66228752B2E}" srcOrd="0" destOrd="0" presId="urn:microsoft.com/office/officeart/2005/8/layout/hierarchy6"/>
    <dgm:cxn modelId="{79D9B69F-7E0D-ED4A-A85F-759D86699B90}" type="presOf" srcId="{0FE36328-FE1E-2940-AAFA-E53F930078B8}" destId="{AA5E7BA3-B324-B245-90A9-07047652D101}" srcOrd="0" destOrd="0" presId="urn:microsoft.com/office/officeart/2005/8/layout/hierarchy6"/>
    <dgm:cxn modelId="{AC941EA4-6653-6B45-B622-650DDB56EF5C}" type="presOf" srcId="{02DB5D66-B816-F44E-95C5-26DC7D091505}" destId="{18B4D572-F3B2-F247-8F66-8E71224B3363}" srcOrd="0" destOrd="0" presId="urn:microsoft.com/office/officeart/2005/8/layout/hierarchy6"/>
    <dgm:cxn modelId="{08017DAB-C228-3C4F-8666-E1459B3BC9CA}" type="presOf" srcId="{CC3853B7-DA50-6741-B501-C5187EAE17B7}" destId="{0F2684B4-04DF-5445-AB19-378A839C1B4E}" srcOrd="0" destOrd="0" presId="urn:microsoft.com/office/officeart/2005/8/layout/hierarchy6"/>
    <dgm:cxn modelId="{91101CB5-A037-B441-B904-6F24A53B1ED0}" srcId="{0FE36328-FE1E-2940-AAFA-E53F930078B8}" destId="{790F92E4-48B2-5E43-8BE7-730FA0278EE0}" srcOrd="0" destOrd="0" parTransId="{ECB91F1F-ED4C-DB40-B31E-71E9B2E1FCAD}" sibTransId="{39B58062-49CB-AB44-B16F-4B53E331A6A8}"/>
    <dgm:cxn modelId="{CDA42EB8-1435-6A45-8BB2-9E9A8ACC4B78}" type="presOf" srcId="{790F92E4-48B2-5E43-8BE7-730FA0278EE0}" destId="{D6622B07-4BAB-FE4D-8DCE-074CE54C346D}" srcOrd="0" destOrd="0" presId="urn:microsoft.com/office/officeart/2005/8/layout/hierarchy6"/>
    <dgm:cxn modelId="{F4CBBFB8-8127-B841-8161-A9EB076B87C5}" srcId="{790F92E4-48B2-5E43-8BE7-730FA0278EE0}" destId="{E3BBCFEE-B179-8744-8459-9D8AC7C77064}" srcOrd="0" destOrd="0" parTransId="{BC78B357-8275-5A4E-A53D-48D13D463077}" sibTransId="{9DC25DEE-0E30-EB48-823A-05E1A2815A99}"/>
    <dgm:cxn modelId="{90B150B9-02E0-9B40-A39B-9B93FFEFF225}" type="presOf" srcId="{FEEC523C-D01B-274A-8CAA-00878063FDE1}" destId="{7393B204-5FB8-014B-97AF-236ACC59193D}" srcOrd="0" destOrd="0" presId="urn:microsoft.com/office/officeart/2005/8/layout/hierarchy6"/>
    <dgm:cxn modelId="{D5DE34C3-A78A-A543-9DC2-5B70BCDB9EB3}" type="presOf" srcId="{89635E87-FBD8-E643-8BA9-189D636DE7A5}" destId="{936D5F01-0DD2-AB4E-BE84-C438A84277FB}" srcOrd="0" destOrd="0" presId="urn:microsoft.com/office/officeart/2005/8/layout/hierarchy6"/>
    <dgm:cxn modelId="{A9162DCF-D162-724E-B996-9BC3DF5B3D5F}" type="presOf" srcId="{1770528E-F79B-1B44-B70B-D7261A4518F9}" destId="{0E040572-667C-4943-8D43-5B2E70A12DA5}" srcOrd="0" destOrd="0" presId="urn:microsoft.com/office/officeart/2005/8/layout/hierarchy6"/>
    <dgm:cxn modelId="{EBF3CAD2-AF33-EA45-A684-8541B575E874}" srcId="{89635E87-FBD8-E643-8BA9-189D636DE7A5}" destId="{C6EE7AFC-412C-DF44-9CC8-03E413EA128E}" srcOrd="0" destOrd="0" parTransId="{908E9E71-FF12-1842-B2A0-CB9BA79A89F0}" sibTransId="{4BDDD151-9732-D844-9443-1026092210AC}"/>
    <dgm:cxn modelId="{4541DFD7-30AC-3048-BF3D-397745E3EBB1}" type="presOf" srcId="{7CB5C664-9200-6948-A714-CC05416CEAE8}" destId="{C8650225-3A22-3443-8E83-8482033093F1}" srcOrd="0" destOrd="0" presId="urn:microsoft.com/office/officeart/2005/8/layout/hierarchy6"/>
    <dgm:cxn modelId="{A0580BD9-D488-3448-A3B9-52E44B24F3E5}" srcId="{02DB5D66-B816-F44E-95C5-26DC7D091505}" destId="{E4AF98D2-88B8-8143-A151-036829785FA2}" srcOrd="1" destOrd="0" parTransId="{5B5B2B0A-EDD2-794C-846C-D4AE0C43A1BB}" sibTransId="{ADF62233-A7C5-A848-AD5B-04E0625B184D}"/>
    <dgm:cxn modelId="{A7D476DE-F560-3646-B9D6-D13E002D001B}" type="presOf" srcId="{5B5B2B0A-EDD2-794C-846C-D4AE0C43A1BB}" destId="{38CBF0AB-27CF-0645-A0AA-E18C1BE36563}" srcOrd="0" destOrd="0" presId="urn:microsoft.com/office/officeart/2005/8/layout/hierarchy6"/>
    <dgm:cxn modelId="{FD335EE0-E65C-7F4B-9D8D-000497E41AD9}" srcId="{02DB5D66-B816-F44E-95C5-26DC7D091505}" destId="{0FE36328-FE1E-2940-AAFA-E53F930078B8}" srcOrd="3" destOrd="0" parTransId="{2F6B654E-63EF-BE44-99B4-187BD7B0956E}" sibTransId="{4525BF20-5CEE-2748-A00A-2F5F89BB86BF}"/>
    <dgm:cxn modelId="{CBF9C0E1-C168-FD4B-A7AE-C66EF6C232BD}" srcId="{0FE36328-FE1E-2940-AAFA-E53F930078B8}" destId="{0ED78719-243F-674B-A93A-823B161241CA}" srcOrd="1" destOrd="0" parTransId="{4E01C4F1-0C12-0D42-A22F-456F00B1B23D}" sibTransId="{FC24577A-0899-7044-8592-59D9BBE977A9}"/>
    <dgm:cxn modelId="{83CF13F1-8A6D-544F-A258-54DE50AEF507}" srcId="{B3BF3134-1529-8346-8225-F8A438A7A728}" destId="{DE147B0B-986A-4E4A-841B-C36269E87A27}" srcOrd="0" destOrd="0" parTransId="{1770528E-F79B-1B44-B70B-D7261A4518F9}" sibTransId="{4F10AB24-5856-8B40-8CD5-7A235AE8C092}"/>
    <dgm:cxn modelId="{03CA28F1-73D8-5943-9B25-DEC4778EE301}" type="presOf" srcId="{8FB8B18B-43B2-9646-ABF1-C28F797C27FC}" destId="{55508235-7EBC-7E4E-852A-8FC74F0F7910}" srcOrd="0" destOrd="0" presId="urn:microsoft.com/office/officeart/2005/8/layout/hierarchy6"/>
    <dgm:cxn modelId="{AF6C7BF8-D0A4-C547-8082-913244F0D199}" type="presOf" srcId="{8FBA3B73-24EA-CB42-8569-5BEDC47ED258}" destId="{AD75FB34-6F70-8D47-9DA6-FC4EAD75CFC2}" srcOrd="0" destOrd="0" presId="urn:microsoft.com/office/officeart/2005/8/layout/hierarchy6"/>
    <dgm:cxn modelId="{BB344D41-DA6D-B447-9A55-2AF5D13B772D}" type="presParOf" srcId="{CD1ED0DC-2E83-834D-A1A2-3CF590B1C2E9}" destId="{9CF9B07A-3ECC-E942-B836-5A3F7138ABA7}" srcOrd="0" destOrd="0" presId="urn:microsoft.com/office/officeart/2005/8/layout/hierarchy6"/>
    <dgm:cxn modelId="{4196E953-AA38-F54F-87AB-0779B8430292}" type="presParOf" srcId="{9CF9B07A-3ECC-E942-B836-5A3F7138ABA7}" destId="{A4C98D01-8A27-FA4C-9674-55B14413544D}" srcOrd="0" destOrd="0" presId="urn:microsoft.com/office/officeart/2005/8/layout/hierarchy6"/>
    <dgm:cxn modelId="{5D260B68-BD5E-094E-8726-96924CCE0130}" type="presParOf" srcId="{A4C98D01-8A27-FA4C-9674-55B14413544D}" destId="{77652937-A0E7-5242-A899-ED6B951CB19A}" srcOrd="0" destOrd="0" presId="urn:microsoft.com/office/officeart/2005/8/layout/hierarchy6"/>
    <dgm:cxn modelId="{536C08A1-D8E5-BE4B-A447-60E590221770}" type="presParOf" srcId="{77652937-A0E7-5242-A899-ED6B951CB19A}" destId="{26B91BCC-4296-F949-BB94-A50A31542FC7}" srcOrd="0" destOrd="0" presId="urn:microsoft.com/office/officeart/2005/8/layout/hierarchy6"/>
    <dgm:cxn modelId="{EBC80F0C-C093-D14E-8833-92447130614A}" type="presParOf" srcId="{77652937-A0E7-5242-A899-ED6B951CB19A}" destId="{1B9D5BC8-8A97-F74E-9858-06533F5BC494}" srcOrd="1" destOrd="0" presId="urn:microsoft.com/office/officeart/2005/8/layout/hierarchy6"/>
    <dgm:cxn modelId="{895A86AB-020E-4E4C-A03D-FFD768F3D7A4}" type="presParOf" srcId="{1B9D5BC8-8A97-F74E-9858-06533F5BC494}" destId="{65A16288-984A-CE4E-B8D5-CABF596274A4}" srcOrd="0" destOrd="0" presId="urn:microsoft.com/office/officeart/2005/8/layout/hierarchy6"/>
    <dgm:cxn modelId="{FBAA2A5B-C045-6C42-8185-9B8323BCC878}" type="presParOf" srcId="{1B9D5BC8-8A97-F74E-9858-06533F5BC494}" destId="{5B63C533-2747-374B-9068-9405B0927179}" srcOrd="1" destOrd="0" presId="urn:microsoft.com/office/officeart/2005/8/layout/hierarchy6"/>
    <dgm:cxn modelId="{809126CF-69B4-0B49-84BE-13B6BB461543}" type="presParOf" srcId="{5B63C533-2747-374B-9068-9405B0927179}" destId="{0F2684B4-04DF-5445-AB19-378A839C1B4E}" srcOrd="0" destOrd="0" presId="urn:microsoft.com/office/officeart/2005/8/layout/hierarchy6"/>
    <dgm:cxn modelId="{E242EEAC-5FE6-DB47-8221-BD973381E0A0}" type="presParOf" srcId="{5B63C533-2747-374B-9068-9405B0927179}" destId="{17E07F51-EA34-164C-92CD-148793D96E99}" srcOrd="1" destOrd="0" presId="urn:microsoft.com/office/officeart/2005/8/layout/hierarchy6"/>
    <dgm:cxn modelId="{C986CE1E-4A9A-B341-B148-80B17F646956}" type="presParOf" srcId="{1B9D5BC8-8A97-F74E-9858-06533F5BC494}" destId="{AD75FB34-6F70-8D47-9DA6-FC4EAD75CFC2}" srcOrd="2" destOrd="0" presId="urn:microsoft.com/office/officeart/2005/8/layout/hierarchy6"/>
    <dgm:cxn modelId="{2D610159-64BB-2D49-AFFD-192B8BC77D60}" type="presParOf" srcId="{1B9D5BC8-8A97-F74E-9858-06533F5BC494}" destId="{D80BF3F5-52BA-F147-BAF7-9906E2107034}" srcOrd="3" destOrd="0" presId="urn:microsoft.com/office/officeart/2005/8/layout/hierarchy6"/>
    <dgm:cxn modelId="{86D41263-32BE-8248-BC6A-0C034B542B07}" type="presParOf" srcId="{D80BF3F5-52BA-F147-BAF7-9906E2107034}" destId="{18B4D572-F3B2-F247-8F66-8E71224B3363}" srcOrd="0" destOrd="0" presId="urn:microsoft.com/office/officeart/2005/8/layout/hierarchy6"/>
    <dgm:cxn modelId="{C19C46D7-90AA-F843-933F-28F997C0CA26}" type="presParOf" srcId="{D80BF3F5-52BA-F147-BAF7-9906E2107034}" destId="{BFA122B9-FBD6-A646-B583-8719935D4958}" srcOrd="1" destOrd="0" presId="urn:microsoft.com/office/officeart/2005/8/layout/hierarchy6"/>
    <dgm:cxn modelId="{E9AE743F-70FF-0845-B5AA-8EE1207F4427}" type="presParOf" srcId="{BFA122B9-FBD6-A646-B583-8719935D4958}" destId="{39363390-E27B-CA4F-B688-B66228752B2E}" srcOrd="0" destOrd="0" presId="urn:microsoft.com/office/officeart/2005/8/layout/hierarchy6"/>
    <dgm:cxn modelId="{C0F37E5B-69D2-E64F-A8F2-A7D86DBA6532}" type="presParOf" srcId="{BFA122B9-FBD6-A646-B583-8719935D4958}" destId="{B75A60D4-96B5-6E46-ABEA-1510AFB38B47}" srcOrd="1" destOrd="0" presId="urn:microsoft.com/office/officeart/2005/8/layout/hierarchy6"/>
    <dgm:cxn modelId="{2A40CC3E-D2DB-214D-A432-083025804DEA}" type="presParOf" srcId="{B75A60D4-96B5-6E46-ABEA-1510AFB38B47}" destId="{BA9EE975-BBE8-6C47-8CED-DDCA4EE2F3A4}" srcOrd="0" destOrd="0" presId="urn:microsoft.com/office/officeart/2005/8/layout/hierarchy6"/>
    <dgm:cxn modelId="{3E2F77E4-BF7C-B143-BDA7-72552911CE6C}" type="presParOf" srcId="{B75A60D4-96B5-6E46-ABEA-1510AFB38B47}" destId="{1F37CB04-DBB2-A44E-BA28-2A8780A0E33E}" srcOrd="1" destOrd="0" presId="urn:microsoft.com/office/officeart/2005/8/layout/hierarchy6"/>
    <dgm:cxn modelId="{0595A85C-AE76-D442-8F5A-A80DF03995BD}" type="presParOf" srcId="{BFA122B9-FBD6-A646-B583-8719935D4958}" destId="{38CBF0AB-27CF-0645-A0AA-E18C1BE36563}" srcOrd="2" destOrd="0" presId="urn:microsoft.com/office/officeart/2005/8/layout/hierarchy6"/>
    <dgm:cxn modelId="{FAA4A14C-E340-9A40-8567-53F4CF2C1979}" type="presParOf" srcId="{BFA122B9-FBD6-A646-B583-8719935D4958}" destId="{393DB2BD-360E-3A4B-8900-4D48289B488F}" srcOrd="3" destOrd="0" presId="urn:microsoft.com/office/officeart/2005/8/layout/hierarchy6"/>
    <dgm:cxn modelId="{6709AB4E-7F53-E146-BA24-041294D16942}" type="presParOf" srcId="{393DB2BD-360E-3A4B-8900-4D48289B488F}" destId="{19FCAE82-7D5E-A442-82E3-6F37278188CA}" srcOrd="0" destOrd="0" presId="urn:microsoft.com/office/officeart/2005/8/layout/hierarchy6"/>
    <dgm:cxn modelId="{AA256053-31E8-224B-8D22-FEB784C5D976}" type="presParOf" srcId="{393DB2BD-360E-3A4B-8900-4D48289B488F}" destId="{47AFD9BD-B603-F845-83C4-FB10F6E87E5D}" srcOrd="1" destOrd="0" presId="urn:microsoft.com/office/officeart/2005/8/layout/hierarchy6"/>
    <dgm:cxn modelId="{CED72D61-DC49-AD43-805C-9AD5B938966C}" type="presParOf" srcId="{BFA122B9-FBD6-A646-B583-8719935D4958}" destId="{7393B204-5FB8-014B-97AF-236ACC59193D}" srcOrd="4" destOrd="0" presId="urn:microsoft.com/office/officeart/2005/8/layout/hierarchy6"/>
    <dgm:cxn modelId="{147B360F-F55B-2149-BCE7-2107189769E0}" type="presParOf" srcId="{BFA122B9-FBD6-A646-B583-8719935D4958}" destId="{9D9DB546-EE97-0B4B-B9C3-F35CC4EC6AAC}" srcOrd="5" destOrd="0" presId="urn:microsoft.com/office/officeart/2005/8/layout/hierarchy6"/>
    <dgm:cxn modelId="{A2833A14-0E37-BE42-A4F3-3D9A0A45BBEC}" type="presParOf" srcId="{9D9DB546-EE97-0B4B-B9C3-F35CC4EC6AAC}" destId="{545676D3-05DF-EF41-80E7-0CCBEEC8E79B}" srcOrd="0" destOrd="0" presId="urn:microsoft.com/office/officeart/2005/8/layout/hierarchy6"/>
    <dgm:cxn modelId="{B9D28AFD-D1FB-D342-B195-39227B5F789A}" type="presParOf" srcId="{9D9DB546-EE97-0B4B-B9C3-F35CC4EC6AAC}" destId="{EA79E588-F995-9D4F-BAF8-6BD6B6F4BB36}" srcOrd="1" destOrd="0" presId="urn:microsoft.com/office/officeart/2005/8/layout/hierarchy6"/>
    <dgm:cxn modelId="{AF440ABA-36AB-A741-928F-C3E243231115}" type="presParOf" srcId="{BFA122B9-FBD6-A646-B583-8719935D4958}" destId="{17E2EB9B-C0E4-4546-A7D6-51FDC59D1E2E}" srcOrd="6" destOrd="0" presId="urn:microsoft.com/office/officeart/2005/8/layout/hierarchy6"/>
    <dgm:cxn modelId="{3FFAA000-DC09-9E4B-BDBE-97C34ACCB3EA}" type="presParOf" srcId="{BFA122B9-FBD6-A646-B583-8719935D4958}" destId="{F93DDBA5-1206-6A49-859F-E4C41721181B}" srcOrd="7" destOrd="0" presId="urn:microsoft.com/office/officeart/2005/8/layout/hierarchy6"/>
    <dgm:cxn modelId="{96ABBBF2-DE9B-7E46-AB88-0D5F8FF4786F}" type="presParOf" srcId="{F93DDBA5-1206-6A49-859F-E4C41721181B}" destId="{AA5E7BA3-B324-B245-90A9-07047652D101}" srcOrd="0" destOrd="0" presId="urn:microsoft.com/office/officeart/2005/8/layout/hierarchy6"/>
    <dgm:cxn modelId="{78769BB7-6B97-4C4A-9C8E-22CD3F6DC8DF}" type="presParOf" srcId="{F93DDBA5-1206-6A49-859F-E4C41721181B}" destId="{3A7A97D6-FBEC-4544-BE93-E724CE915F54}" srcOrd="1" destOrd="0" presId="urn:microsoft.com/office/officeart/2005/8/layout/hierarchy6"/>
    <dgm:cxn modelId="{A27C0897-5A72-6849-9796-A1322A474C6F}" type="presParOf" srcId="{3A7A97D6-FBEC-4544-BE93-E724CE915F54}" destId="{AAF1F5E6-17EC-8A4F-92EC-4AD127BB34EE}" srcOrd="0" destOrd="0" presId="urn:microsoft.com/office/officeart/2005/8/layout/hierarchy6"/>
    <dgm:cxn modelId="{7A1B695B-EB8B-C94D-AF60-E68E80BBFCAF}" type="presParOf" srcId="{3A7A97D6-FBEC-4544-BE93-E724CE915F54}" destId="{97E59210-EBCC-3B49-9100-8E7CC1C2BBC3}" srcOrd="1" destOrd="0" presId="urn:microsoft.com/office/officeart/2005/8/layout/hierarchy6"/>
    <dgm:cxn modelId="{5E3CC5CE-536B-B542-973F-8DBE32D2E3E8}" type="presParOf" srcId="{97E59210-EBCC-3B49-9100-8E7CC1C2BBC3}" destId="{D6622B07-4BAB-FE4D-8DCE-074CE54C346D}" srcOrd="0" destOrd="0" presId="urn:microsoft.com/office/officeart/2005/8/layout/hierarchy6"/>
    <dgm:cxn modelId="{853438F0-5C9D-5C48-9234-BF825BD6AA76}" type="presParOf" srcId="{97E59210-EBCC-3B49-9100-8E7CC1C2BBC3}" destId="{780CDDFF-36E6-694D-A11D-8102CC0F721D}" srcOrd="1" destOrd="0" presId="urn:microsoft.com/office/officeart/2005/8/layout/hierarchy6"/>
    <dgm:cxn modelId="{42BC4525-AD4A-2441-BBFE-67B46EF0C18D}" type="presParOf" srcId="{780CDDFF-36E6-694D-A11D-8102CC0F721D}" destId="{E70D3CFE-E8A2-1B43-B065-B2430ECF001B}" srcOrd="0" destOrd="0" presId="urn:microsoft.com/office/officeart/2005/8/layout/hierarchy6"/>
    <dgm:cxn modelId="{D399CE69-6DC7-4641-B15A-9CE29400151C}" type="presParOf" srcId="{780CDDFF-36E6-694D-A11D-8102CC0F721D}" destId="{86949BD3-FDDC-C246-854A-A7F663F14084}" srcOrd="1" destOrd="0" presId="urn:microsoft.com/office/officeart/2005/8/layout/hierarchy6"/>
    <dgm:cxn modelId="{54608817-1B2E-4D4D-B0CF-8BB1FA558CAF}" type="presParOf" srcId="{86949BD3-FDDC-C246-854A-A7F663F14084}" destId="{7DF1D1EA-1D37-844E-B5E8-5D58C91D47D5}" srcOrd="0" destOrd="0" presId="urn:microsoft.com/office/officeart/2005/8/layout/hierarchy6"/>
    <dgm:cxn modelId="{0443DB6C-6785-F34B-8C09-82EBE61A083F}" type="presParOf" srcId="{86949BD3-FDDC-C246-854A-A7F663F14084}" destId="{9582DFD2-3112-3745-8090-FED55444A517}" srcOrd="1" destOrd="0" presId="urn:microsoft.com/office/officeart/2005/8/layout/hierarchy6"/>
    <dgm:cxn modelId="{1FC4E321-9969-FE4E-80AC-0A94DE3BFD55}" type="presParOf" srcId="{780CDDFF-36E6-694D-A11D-8102CC0F721D}" destId="{30C3279D-E62B-EA45-9E0E-7541853AE1EA}" srcOrd="2" destOrd="0" presId="urn:microsoft.com/office/officeart/2005/8/layout/hierarchy6"/>
    <dgm:cxn modelId="{F7075B4D-A8E3-CB46-9D27-89776679CD83}" type="presParOf" srcId="{780CDDFF-36E6-694D-A11D-8102CC0F721D}" destId="{34732A50-7761-7D4D-9F59-2A7296F417C8}" srcOrd="3" destOrd="0" presId="urn:microsoft.com/office/officeart/2005/8/layout/hierarchy6"/>
    <dgm:cxn modelId="{3963F85B-AE8E-F141-A9A3-DD6E8722F5B9}" type="presParOf" srcId="{34732A50-7761-7D4D-9F59-2A7296F417C8}" destId="{D16887C7-C99C-8B4C-9144-8F2B5505DB09}" srcOrd="0" destOrd="0" presId="urn:microsoft.com/office/officeart/2005/8/layout/hierarchy6"/>
    <dgm:cxn modelId="{46035D47-224E-1242-A0CA-3A76B2B26006}" type="presParOf" srcId="{34732A50-7761-7D4D-9F59-2A7296F417C8}" destId="{B3B2EDDB-DF61-8547-895B-8194408286DD}" srcOrd="1" destOrd="0" presId="urn:microsoft.com/office/officeart/2005/8/layout/hierarchy6"/>
    <dgm:cxn modelId="{F1CA5433-123F-4044-BA26-BE8B6396D564}" type="presParOf" srcId="{780CDDFF-36E6-694D-A11D-8102CC0F721D}" destId="{C8650225-3A22-3443-8E83-8482033093F1}" srcOrd="4" destOrd="0" presId="urn:microsoft.com/office/officeart/2005/8/layout/hierarchy6"/>
    <dgm:cxn modelId="{B766B5EF-AD8B-504A-A055-D5E83DE6FCC8}" type="presParOf" srcId="{780CDDFF-36E6-694D-A11D-8102CC0F721D}" destId="{9CDC1575-5C9B-B344-AF6A-F6F7EF7B6F45}" srcOrd="5" destOrd="0" presId="urn:microsoft.com/office/officeart/2005/8/layout/hierarchy6"/>
    <dgm:cxn modelId="{9578F843-9C1E-FD48-AB2A-D7D18074B819}" type="presParOf" srcId="{9CDC1575-5C9B-B344-AF6A-F6F7EF7B6F45}" destId="{6A84BF5C-B295-D046-812C-A39FDFE93DE5}" srcOrd="0" destOrd="0" presId="urn:microsoft.com/office/officeart/2005/8/layout/hierarchy6"/>
    <dgm:cxn modelId="{4B58F09F-97AF-E441-80AB-37B668A4116B}" type="presParOf" srcId="{9CDC1575-5C9B-B344-AF6A-F6F7EF7B6F45}" destId="{72B29136-C50D-3943-ACD0-14E9EFC79114}" srcOrd="1" destOrd="0" presId="urn:microsoft.com/office/officeart/2005/8/layout/hierarchy6"/>
    <dgm:cxn modelId="{40B56898-3700-504B-BD51-41EFDE5DE21C}" type="presParOf" srcId="{3A7A97D6-FBEC-4544-BE93-E724CE915F54}" destId="{7F19B1A4-B0A3-F046-B94F-54BB8762CBA5}" srcOrd="2" destOrd="0" presId="urn:microsoft.com/office/officeart/2005/8/layout/hierarchy6"/>
    <dgm:cxn modelId="{87EFB461-B436-7A43-A741-E935944BC47F}" type="presParOf" srcId="{3A7A97D6-FBEC-4544-BE93-E724CE915F54}" destId="{656EE30D-C9B2-634B-B53B-77B7D00D3E99}" srcOrd="3" destOrd="0" presId="urn:microsoft.com/office/officeart/2005/8/layout/hierarchy6"/>
    <dgm:cxn modelId="{70C5204E-0EA2-D94E-837A-ED94CDC945A2}" type="presParOf" srcId="{656EE30D-C9B2-634B-B53B-77B7D00D3E99}" destId="{0C79F12B-1F53-7944-9FC4-E0F1D2365A53}" srcOrd="0" destOrd="0" presId="urn:microsoft.com/office/officeart/2005/8/layout/hierarchy6"/>
    <dgm:cxn modelId="{2A13340E-6E8F-BC4C-978B-E0EF2F848179}" type="presParOf" srcId="{656EE30D-C9B2-634B-B53B-77B7D00D3E99}" destId="{5B565384-3233-0A47-9AE2-4CE2CCAAE21A}" srcOrd="1" destOrd="0" presId="urn:microsoft.com/office/officeart/2005/8/layout/hierarchy6"/>
    <dgm:cxn modelId="{8C16823E-92DC-9B4C-A894-FC89360DD5F5}" type="presParOf" srcId="{5B565384-3233-0A47-9AE2-4CE2CCAAE21A}" destId="{588C80D2-FA4B-1A49-960E-C8A09E0A510D}" srcOrd="0" destOrd="0" presId="urn:microsoft.com/office/officeart/2005/8/layout/hierarchy6"/>
    <dgm:cxn modelId="{776AF982-1594-4546-A284-6C86C2AF3EB0}" type="presParOf" srcId="{5B565384-3233-0A47-9AE2-4CE2CCAAE21A}" destId="{6BAEF713-18B9-284F-9B41-53F946C8117E}" srcOrd="1" destOrd="0" presId="urn:microsoft.com/office/officeart/2005/8/layout/hierarchy6"/>
    <dgm:cxn modelId="{629A4023-598C-7E4E-9311-BA55A78DFBC6}" type="presParOf" srcId="{6BAEF713-18B9-284F-9B41-53F946C8117E}" destId="{936D5F01-0DD2-AB4E-BE84-C438A84277FB}" srcOrd="0" destOrd="0" presId="urn:microsoft.com/office/officeart/2005/8/layout/hierarchy6"/>
    <dgm:cxn modelId="{CFE20F8D-7FF2-8C4B-88E0-5A97CD4B6BB5}" type="presParOf" srcId="{6BAEF713-18B9-284F-9B41-53F946C8117E}" destId="{1D89F17B-7369-B948-BEFC-FC6AB9682CF7}" srcOrd="1" destOrd="0" presId="urn:microsoft.com/office/officeart/2005/8/layout/hierarchy6"/>
    <dgm:cxn modelId="{873D2574-94E4-7A4F-988F-86478D8F0405}" type="presParOf" srcId="{1D89F17B-7369-B948-BEFC-FC6AB9682CF7}" destId="{DB2DAD40-74E6-4B43-9581-0565B02DD0A4}" srcOrd="0" destOrd="0" presId="urn:microsoft.com/office/officeart/2005/8/layout/hierarchy6"/>
    <dgm:cxn modelId="{66C54DB9-0614-9645-AA10-7E762BF67B61}" type="presParOf" srcId="{1D89F17B-7369-B948-BEFC-FC6AB9682CF7}" destId="{FB996C2E-3CD8-BC4A-B298-5E26693A3BAA}" srcOrd="1" destOrd="0" presId="urn:microsoft.com/office/officeart/2005/8/layout/hierarchy6"/>
    <dgm:cxn modelId="{D8918077-BF35-4241-9904-14EB012E31F8}" type="presParOf" srcId="{FB996C2E-3CD8-BC4A-B298-5E26693A3BAA}" destId="{8D40DF02-31FD-E54B-8B70-EB57625A6E1F}" srcOrd="0" destOrd="0" presId="urn:microsoft.com/office/officeart/2005/8/layout/hierarchy6"/>
    <dgm:cxn modelId="{C44FCA62-C3CE-8E42-90DF-9D84A1913AC8}" type="presParOf" srcId="{FB996C2E-3CD8-BC4A-B298-5E26693A3BAA}" destId="{AFF39117-0644-6B4C-B5BD-A20DE65F37D7}" srcOrd="1" destOrd="0" presId="urn:microsoft.com/office/officeart/2005/8/layout/hierarchy6"/>
    <dgm:cxn modelId="{85DB49EE-B6B2-894D-9BEB-5A41A708211E}" type="presParOf" srcId="{1D89F17B-7369-B948-BEFC-FC6AB9682CF7}" destId="{424EB1F1-0457-8A43-AC28-42A7F6C924B6}" srcOrd="2" destOrd="0" presId="urn:microsoft.com/office/officeart/2005/8/layout/hierarchy6"/>
    <dgm:cxn modelId="{4B0F49AF-DA92-3B45-AB17-5D9D4ED7B7EA}" type="presParOf" srcId="{1D89F17B-7369-B948-BEFC-FC6AB9682CF7}" destId="{4A14124C-BB00-A944-AE26-D6C435E990C8}" srcOrd="3" destOrd="0" presId="urn:microsoft.com/office/officeart/2005/8/layout/hierarchy6"/>
    <dgm:cxn modelId="{24104C5E-2D8A-F148-8BDD-27A61386D170}" type="presParOf" srcId="{4A14124C-BB00-A944-AE26-D6C435E990C8}" destId="{382F42C9-DBF7-7340-ADF6-8EA39B409224}" srcOrd="0" destOrd="0" presId="urn:microsoft.com/office/officeart/2005/8/layout/hierarchy6"/>
    <dgm:cxn modelId="{D99A1FDB-B234-5F41-9544-1415C99DA55D}" type="presParOf" srcId="{4A14124C-BB00-A944-AE26-D6C435E990C8}" destId="{95149D7E-7167-2649-BDD6-5160E45B21D8}" srcOrd="1" destOrd="0" presId="urn:microsoft.com/office/officeart/2005/8/layout/hierarchy6"/>
    <dgm:cxn modelId="{E8E0B3D0-619E-4E4E-B56B-9D2BD22DDB79}" type="presParOf" srcId="{5B565384-3233-0A47-9AE2-4CE2CCAAE21A}" destId="{55508235-7EBC-7E4E-852A-8FC74F0F7910}" srcOrd="2" destOrd="0" presId="urn:microsoft.com/office/officeart/2005/8/layout/hierarchy6"/>
    <dgm:cxn modelId="{CEFCF5A0-1DA8-2940-9D9D-78EA20B7E052}" type="presParOf" srcId="{5B565384-3233-0A47-9AE2-4CE2CCAAE21A}" destId="{F0663474-E3D2-954D-B408-0FBBF2F637B0}" srcOrd="3" destOrd="0" presId="urn:microsoft.com/office/officeart/2005/8/layout/hierarchy6"/>
    <dgm:cxn modelId="{83E2E945-A815-E442-81AD-6533064B1965}" type="presParOf" srcId="{F0663474-E3D2-954D-B408-0FBBF2F637B0}" destId="{69C7AE7F-D9CF-AD4D-83FE-5776250BB6E1}" srcOrd="0" destOrd="0" presId="urn:microsoft.com/office/officeart/2005/8/layout/hierarchy6"/>
    <dgm:cxn modelId="{DEF94FF3-81C0-0C48-AD3D-7B853D0770D8}" type="presParOf" srcId="{F0663474-E3D2-954D-B408-0FBBF2F637B0}" destId="{9FC5DE70-747D-0A49-BA80-9078B5A12493}" srcOrd="1" destOrd="0" presId="urn:microsoft.com/office/officeart/2005/8/layout/hierarchy6"/>
    <dgm:cxn modelId="{EDEB1BE5-F803-A747-A18A-4CCCA4CF2DAD}" type="presParOf" srcId="{9FC5DE70-747D-0A49-BA80-9078B5A12493}" destId="{0E040572-667C-4943-8D43-5B2E70A12DA5}" srcOrd="0" destOrd="0" presId="urn:microsoft.com/office/officeart/2005/8/layout/hierarchy6"/>
    <dgm:cxn modelId="{97D92704-9DB4-2A4C-89BF-D10469CFF181}" type="presParOf" srcId="{9FC5DE70-747D-0A49-BA80-9078B5A12493}" destId="{7392699F-0CB7-434E-A4B9-F123586F0F6B}" srcOrd="1" destOrd="0" presId="urn:microsoft.com/office/officeart/2005/8/layout/hierarchy6"/>
    <dgm:cxn modelId="{28F84452-2A8B-9341-AF76-A782DB569780}" type="presParOf" srcId="{7392699F-0CB7-434E-A4B9-F123586F0F6B}" destId="{3D35889D-7E72-AC4A-A6BC-6F8872611F43}" srcOrd="0" destOrd="0" presId="urn:microsoft.com/office/officeart/2005/8/layout/hierarchy6"/>
    <dgm:cxn modelId="{D4A7E8CD-453F-9F4B-837D-078E5E40555A}" type="presParOf" srcId="{7392699F-0CB7-434E-A4B9-F123586F0F6B}" destId="{AFB167E3-4637-DC49-93AB-0DA0F3C47CEC}" srcOrd="1" destOrd="0" presId="urn:microsoft.com/office/officeart/2005/8/layout/hierarchy6"/>
    <dgm:cxn modelId="{DE17B626-DC93-4C4A-954E-77F18A64612D}" type="presParOf" srcId="{9FC5DE70-747D-0A49-BA80-9078B5A12493}" destId="{5294843D-9A65-884C-ABB3-36F892486622}" srcOrd="2" destOrd="0" presId="urn:microsoft.com/office/officeart/2005/8/layout/hierarchy6"/>
    <dgm:cxn modelId="{0C1C223F-8D6B-D94C-ACA2-EABDA831FC13}" type="presParOf" srcId="{9FC5DE70-747D-0A49-BA80-9078B5A12493}" destId="{BC42C2B5-15AE-CA4E-B1D2-F12B5CD793A7}" srcOrd="3" destOrd="0" presId="urn:microsoft.com/office/officeart/2005/8/layout/hierarchy6"/>
    <dgm:cxn modelId="{4E2F36F0-A591-5242-8A0E-F0683FDE60C9}" type="presParOf" srcId="{BC42C2B5-15AE-CA4E-B1D2-F12B5CD793A7}" destId="{C32B9EA2-F1D3-6A4C-95C3-26395F0D8924}" srcOrd="0" destOrd="0" presId="urn:microsoft.com/office/officeart/2005/8/layout/hierarchy6"/>
    <dgm:cxn modelId="{5750EDC5-CAA1-6142-A600-3A941F67BE47}" type="presParOf" srcId="{BC42C2B5-15AE-CA4E-B1D2-F12B5CD793A7}" destId="{85E23E00-A5CE-CD40-961D-12DD3E99333C}" srcOrd="1" destOrd="0" presId="urn:microsoft.com/office/officeart/2005/8/layout/hierarchy6"/>
    <dgm:cxn modelId="{99FEC76F-5C4F-6645-8D90-2A5062D8BDC3}" type="presParOf" srcId="{CD1ED0DC-2E83-834D-A1A2-3CF590B1C2E9}" destId="{049293D4-954B-8B4C-8955-2FC9134AC439}" srcOrd="1" destOrd="0" presId="urn:microsoft.com/office/officeart/2005/8/layout/hierarchy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B91BCC-4296-F949-BB94-A50A31542FC7}">
      <dsp:nvSpPr>
        <dsp:cNvPr id="0" name=""/>
        <dsp:cNvSpPr/>
      </dsp:nvSpPr>
      <dsp:spPr>
        <a:xfrm>
          <a:off x="1142132" y="35365"/>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Mandíbula  Atrófica</a:t>
          </a:r>
        </a:p>
      </dsp:txBody>
      <dsp:txXfrm>
        <a:off x="1154396" y="47629"/>
        <a:ext cx="603562" cy="394198"/>
      </dsp:txXfrm>
    </dsp:sp>
    <dsp:sp modelId="{65A16288-984A-CE4E-B8D5-CABF596274A4}">
      <dsp:nvSpPr>
        <dsp:cNvPr id="0" name=""/>
        <dsp:cNvSpPr/>
      </dsp:nvSpPr>
      <dsp:spPr>
        <a:xfrm>
          <a:off x="1047919" y="454092"/>
          <a:ext cx="408258" cy="167490"/>
        </a:xfrm>
        <a:custGeom>
          <a:avLst/>
          <a:gdLst/>
          <a:ahLst/>
          <a:cxnLst/>
          <a:rect l="0" t="0" r="0" b="0"/>
          <a:pathLst>
            <a:path>
              <a:moveTo>
                <a:pt x="408258" y="0"/>
              </a:moveTo>
              <a:lnTo>
                <a:pt x="408258" y="83745"/>
              </a:lnTo>
              <a:lnTo>
                <a:pt x="0" y="83745"/>
              </a:lnTo>
              <a:lnTo>
                <a:pt x="0" y="167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2684B4-04DF-5445-AB19-378A839C1B4E}">
      <dsp:nvSpPr>
        <dsp:cNvPr id="0" name=""/>
        <dsp:cNvSpPr/>
      </dsp:nvSpPr>
      <dsp:spPr>
        <a:xfrm>
          <a:off x="733874" y="621583"/>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Implantes Cortos</a:t>
          </a:r>
        </a:p>
      </dsp:txBody>
      <dsp:txXfrm>
        <a:off x="746138" y="633847"/>
        <a:ext cx="603562" cy="394198"/>
      </dsp:txXfrm>
    </dsp:sp>
    <dsp:sp modelId="{AD75FB34-6F70-8D47-9DA6-FC4EAD75CFC2}">
      <dsp:nvSpPr>
        <dsp:cNvPr id="0" name=""/>
        <dsp:cNvSpPr/>
      </dsp:nvSpPr>
      <dsp:spPr>
        <a:xfrm>
          <a:off x="1456177" y="454092"/>
          <a:ext cx="408258" cy="167490"/>
        </a:xfrm>
        <a:custGeom>
          <a:avLst/>
          <a:gdLst/>
          <a:ahLst/>
          <a:cxnLst/>
          <a:rect l="0" t="0" r="0" b="0"/>
          <a:pathLst>
            <a:path>
              <a:moveTo>
                <a:pt x="0" y="0"/>
              </a:moveTo>
              <a:lnTo>
                <a:pt x="0" y="83745"/>
              </a:lnTo>
              <a:lnTo>
                <a:pt x="408258" y="83745"/>
              </a:lnTo>
              <a:lnTo>
                <a:pt x="408258" y="1674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B4D572-F3B2-F247-8F66-8E71224B3363}">
      <dsp:nvSpPr>
        <dsp:cNvPr id="0" name=""/>
        <dsp:cNvSpPr/>
      </dsp:nvSpPr>
      <dsp:spPr>
        <a:xfrm>
          <a:off x="1550391" y="621583"/>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Técnicas Regenerativas</a:t>
          </a:r>
        </a:p>
      </dsp:txBody>
      <dsp:txXfrm>
        <a:off x="1562655" y="633847"/>
        <a:ext cx="603562" cy="394198"/>
      </dsp:txXfrm>
    </dsp:sp>
    <dsp:sp modelId="{39363390-E27B-CA4F-B688-B66228752B2E}">
      <dsp:nvSpPr>
        <dsp:cNvPr id="0" name=""/>
        <dsp:cNvSpPr/>
      </dsp:nvSpPr>
      <dsp:spPr>
        <a:xfrm>
          <a:off x="317547" y="1040310"/>
          <a:ext cx="1546888" cy="167490"/>
        </a:xfrm>
        <a:custGeom>
          <a:avLst/>
          <a:gdLst/>
          <a:ahLst/>
          <a:cxnLst/>
          <a:rect l="0" t="0" r="0" b="0"/>
          <a:pathLst>
            <a:path>
              <a:moveTo>
                <a:pt x="1546888" y="0"/>
              </a:moveTo>
              <a:lnTo>
                <a:pt x="1546888" y="83745"/>
              </a:lnTo>
              <a:lnTo>
                <a:pt x="0" y="83745"/>
              </a:lnTo>
              <a:lnTo>
                <a:pt x="0"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EE975-BBE8-6C47-8CED-DDCA4EE2F3A4}">
      <dsp:nvSpPr>
        <dsp:cNvPr id="0" name=""/>
        <dsp:cNvSpPr/>
      </dsp:nvSpPr>
      <dsp:spPr>
        <a:xfrm>
          <a:off x="3502" y="1207800"/>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Distracción </a:t>
          </a:r>
          <a:r>
            <a:rPr lang="es-ES" sz="700" kern="1200" dirty="0" err="1"/>
            <a:t>Osteogénica</a:t>
          </a:r>
          <a:endParaRPr lang="es-ES" sz="700" kern="1200" dirty="0"/>
        </a:p>
      </dsp:txBody>
      <dsp:txXfrm>
        <a:off x="15766" y="1220064"/>
        <a:ext cx="603562" cy="394198"/>
      </dsp:txXfrm>
    </dsp:sp>
    <dsp:sp modelId="{38CBF0AB-27CF-0645-A0AA-E18C1BE36563}">
      <dsp:nvSpPr>
        <dsp:cNvPr id="0" name=""/>
        <dsp:cNvSpPr/>
      </dsp:nvSpPr>
      <dsp:spPr>
        <a:xfrm>
          <a:off x="1134064" y="1040310"/>
          <a:ext cx="730371" cy="167490"/>
        </a:xfrm>
        <a:custGeom>
          <a:avLst/>
          <a:gdLst/>
          <a:ahLst/>
          <a:cxnLst/>
          <a:rect l="0" t="0" r="0" b="0"/>
          <a:pathLst>
            <a:path>
              <a:moveTo>
                <a:pt x="730371" y="0"/>
              </a:moveTo>
              <a:lnTo>
                <a:pt x="730371" y="83745"/>
              </a:lnTo>
              <a:lnTo>
                <a:pt x="0" y="83745"/>
              </a:lnTo>
              <a:lnTo>
                <a:pt x="0"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FCAE82-7D5E-A442-82E3-6F37278188CA}">
      <dsp:nvSpPr>
        <dsp:cNvPr id="0" name=""/>
        <dsp:cNvSpPr/>
      </dsp:nvSpPr>
      <dsp:spPr>
        <a:xfrm>
          <a:off x="820019" y="1207800"/>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Bloque Óseo Interpuesto</a:t>
          </a:r>
        </a:p>
      </dsp:txBody>
      <dsp:txXfrm>
        <a:off x="832283" y="1220064"/>
        <a:ext cx="603562" cy="394198"/>
      </dsp:txXfrm>
    </dsp:sp>
    <dsp:sp modelId="{7393B204-5FB8-014B-97AF-236ACC59193D}">
      <dsp:nvSpPr>
        <dsp:cNvPr id="0" name=""/>
        <dsp:cNvSpPr/>
      </dsp:nvSpPr>
      <dsp:spPr>
        <a:xfrm>
          <a:off x="1818716" y="1040310"/>
          <a:ext cx="91440" cy="167490"/>
        </a:xfrm>
        <a:custGeom>
          <a:avLst/>
          <a:gdLst/>
          <a:ahLst/>
          <a:cxnLst/>
          <a:rect l="0" t="0" r="0" b="0"/>
          <a:pathLst>
            <a:path>
              <a:moveTo>
                <a:pt x="45720" y="0"/>
              </a:moveTo>
              <a:lnTo>
                <a:pt x="45720" y="83745"/>
              </a:lnTo>
              <a:lnTo>
                <a:pt x="131865" y="83745"/>
              </a:lnTo>
              <a:lnTo>
                <a:pt x="131865"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5676D3-05DF-EF41-80E7-0CCBEEC8E79B}">
      <dsp:nvSpPr>
        <dsp:cNvPr id="0" name=""/>
        <dsp:cNvSpPr/>
      </dsp:nvSpPr>
      <dsp:spPr>
        <a:xfrm>
          <a:off x="1636536" y="1207800"/>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Bloque Óseo Sobrepuesto</a:t>
          </a:r>
        </a:p>
      </dsp:txBody>
      <dsp:txXfrm>
        <a:off x="1648800" y="1220064"/>
        <a:ext cx="603562" cy="394198"/>
      </dsp:txXfrm>
    </dsp:sp>
    <dsp:sp modelId="{17E2EB9B-C0E4-4546-A7D6-51FDC59D1E2E}">
      <dsp:nvSpPr>
        <dsp:cNvPr id="0" name=""/>
        <dsp:cNvSpPr/>
      </dsp:nvSpPr>
      <dsp:spPr>
        <a:xfrm>
          <a:off x="1864436" y="1040310"/>
          <a:ext cx="1224775" cy="167490"/>
        </a:xfrm>
        <a:custGeom>
          <a:avLst/>
          <a:gdLst/>
          <a:ahLst/>
          <a:cxnLst/>
          <a:rect l="0" t="0" r="0" b="0"/>
          <a:pathLst>
            <a:path>
              <a:moveTo>
                <a:pt x="0" y="0"/>
              </a:moveTo>
              <a:lnTo>
                <a:pt x="0" y="83745"/>
              </a:lnTo>
              <a:lnTo>
                <a:pt x="1224775" y="83745"/>
              </a:lnTo>
              <a:lnTo>
                <a:pt x="1224775"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5E7BA3-B324-B245-90A9-07047652D101}">
      <dsp:nvSpPr>
        <dsp:cNvPr id="0" name=""/>
        <dsp:cNvSpPr/>
      </dsp:nvSpPr>
      <dsp:spPr>
        <a:xfrm>
          <a:off x="2453053" y="1207800"/>
          <a:ext cx="1272315" cy="685761"/>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a:outerShdw blurRad="50800" dist="50800" dir="5400000" sx="76000" sy="76000" algn="ctr" rotWithShape="0">
            <a:srgbClr val="000000">
              <a:alpha val="43137"/>
            </a:srgbClr>
          </a:outerShdw>
          <a:reflection blurRad="6350" stA="52000" endA="300" endPos="35000" dir="5400000" sy="-100000" algn="bl" rotWithShape="0"/>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ES" sz="1400" b="1" kern="1200" dirty="0"/>
            <a:t>Regeneración Ósea Guiada</a:t>
          </a:r>
        </a:p>
      </dsp:txBody>
      <dsp:txXfrm>
        <a:off x="2473138" y="1227885"/>
        <a:ext cx="1232145" cy="645591"/>
      </dsp:txXfrm>
    </dsp:sp>
    <dsp:sp modelId="{AAF1F5E6-17EC-8A4F-92EC-4AD127BB34EE}">
      <dsp:nvSpPr>
        <dsp:cNvPr id="0" name=""/>
        <dsp:cNvSpPr/>
      </dsp:nvSpPr>
      <dsp:spPr>
        <a:xfrm>
          <a:off x="1660306" y="1893561"/>
          <a:ext cx="1428904" cy="167490"/>
        </a:xfrm>
        <a:custGeom>
          <a:avLst/>
          <a:gdLst/>
          <a:ahLst/>
          <a:cxnLst/>
          <a:rect l="0" t="0" r="0" b="0"/>
          <a:pathLst>
            <a:path>
              <a:moveTo>
                <a:pt x="1428904" y="0"/>
              </a:moveTo>
              <a:lnTo>
                <a:pt x="1428904" y="83745"/>
              </a:lnTo>
              <a:lnTo>
                <a:pt x="0" y="83745"/>
              </a:lnTo>
              <a:lnTo>
                <a:pt x="0"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622B07-4BAB-FE4D-8DCE-074CE54C346D}">
      <dsp:nvSpPr>
        <dsp:cNvPr id="0" name=""/>
        <dsp:cNvSpPr/>
      </dsp:nvSpPr>
      <dsp:spPr>
        <a:xfrm>
          <a:off x="1346261" y="2061052"/>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Materiales</a:t>
          </a:r>
        </a:p>
      </dsp:txBody>
      <dsp:txXfrm>
        <a:off x="1358525" y="2073316"/>
        <a:ext cx="603562" cy="394198"/>
      </dsp:txXfrm>
    </dsp:sp>
    <dsp:sp modelId="{E70D3CFE-E8A2-1B43-B065-B2430ECF001B}">
      <dsp:nvSpPr>
        <dsp:cNvPr id="0" name=""/>
        <dsp:cNvSpPr/>
      </dsp:nvSpPr>
      <dsp:spPr>
        <a:xfrm>
          <a:off x="843789" y="2479779"/>
          <a:ext cx="816517" cy="167490"/>
        </a:xfrm>
        <a:custGeom>
          <a:avLst/>
          <a:gdLst/>
          <a:ahLst/>
          <a:cxnLst/>
          <a:rect l="0" t="0" r="0" b="0"/>
          <a:pathLst>
            <a:path>
              <a:moveTo>
                <a:pt x="816517" y="0"/>
              </a:moveTo>
              <a:lnTo>
                <a:pt x="816517" y="83745"/>
              </a:lnTo>
              <a:lnTo>
                <a:pt x="0" y="83745"/>
              </a:lnTo>
              <a:lnTo>
                <a:pt x="0"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F1D1EA-1D37-844E-B5E8-5D58C91D47D5}">
      <dsp:nvSpPr>
        <dsp:cNvPr id="0" name=""/>
        <dsp:cNvSpPr/>
      </dsp:nvSpPr>
      <dsp:spPr>
        <a:xfrm>
          <a:off x="529744" y="2647269"/>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Autoinjerto</a:t>
          </a:r>
        </a:p>
      </dsp:txBody>
      <dsp:txXfrm>
        <a:off x="542008" y="2659533"/>
        <a:ext cx="603562" cy="394198"/>
      </dsp:txXfrm>
    </dsp:sp>
    <dsp:sp modelId="{30C3279D-E62B-EA45-9E0E-7541853AE1EA}">
      <dsp:nvSpPr>
        <dsp:cNvPr id="0" name=""/>
        <dsp:cNvSpPr/>
      </dsp:nvSpPr>
      <dsp:spPr>
        <a:xfrm>
          <a:off x="1614586" y="2479779"/>
          <a:ext cx="91440" cy="167490"/>
        </a:xfrm>
        <a:custGeom>
          <a:avLst/>
          <a:gdLst/>
          <a:ahLst/>
          <a:cxnLst/>
          <a:rect l="0" t="0" r="0" b="0"/>
          <a:pathLst>
            <a:path>
              <a:moveTo>
                <a:pt x="45720" y="0"/>
              </a:moveTo>
              <a:lnTo>
                <a:pt x="45720"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6887C7-C99C-8B4C-9144-8F2B5505DB09}">
      <dsp:nvSpPr>
        <dsp:cNvPr id="0" name=""/>
        <dsp:cNvSpPr/>
      </dsp:nvSpPr>
      <dsp:spPr>
        <a:xfrm>
          <a:off x="1346261" y="2647269"/>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err="1"/>
            <a:t>Aloinjerto</a:t>
          </a:r>
          <a:endParaRPr lang="es-ES" sz="700" kern="1200" dirty="0"/>
        </a:p>
      </dsp:txBody>
      <dsp:txXfrm>
        <a:off x="1358525" y="2659533"/>
        <a:ext cx="603562" cy="394198"/>
      </dsp:txXfrm>
    </dsp:sp>
    <dsp:sp modelId="{C8650225-3A22-3443-8E83-8482033093F1}">
      <dsp:nvSpPr>
        <dsp:cNvPr id="0" name=""/>
        <dsp:cNvSpPr/>
      </dsp:nvSpPr>
      <dsp:spPr>
        <a:xfrm>
          <a:off x="1660306" y="2479779"/>
          <a:ext cx="816517" cy="167490"/>
        </a:xfrm>
        <a:custGeom>
          <a:avLst/>
          <a:gdLst/>
          <a:ahLst/>
          <a:cxnLst/>
          <a:rect l="0" t="0" r="0" b="0"/>
          <a:pathLst>
            <a:path>
              <a:moveTo>
                <a:pt x="0" y="0"/>
              </a:moveTo>
              <a:lnTo>
                <a:pt x="0" y="83745"/>
              </a:lnTo>
              <a:lnTo>
                <a:pt x="816517" y="83745"/>
              </a:lnTo>
              <a:lnTo>
                <a:pt x="816517"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84BF5C-B295-D046-812C-A39FDFE93DE5}">
      <dsp:nvSpPr>
        <dsp:cNvPr id="0" name=""/>
        <dsp:cNvSpPr/>
      </dsp:nvSpPr>
      <dsp:spPr>
        <a:xfrm>
          <a:off x="2162778" y="2647269"/>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err="1"/>
            <a:t>Xenoinjerto</a:t>
          </a:r>
          <a:endParaRPr lang="es-ES" sz="700" kern="1200" dirty="0"/>
        </a:p>
      </dsp:txBody>
      <dsp:txXfrm>
        <a:off x="2175042" y="2659533"/>
        <a:ext cx="603562" cy="394198"/>
      </dsp:txXfrm>
    </dsp:sp>
    <dsp:sp modelId="{7F19B1A4-B0A3-F046-B94F-54BB8762CBA5}">
      <dsp:nvSpPr>
        <dsp:cNvPr id="0" name=""/>
        <dsp:cNvSpPr/>
      </dsp:nvSpPr>
      <dsp:spPr>
        <a:xfrm>
          <a:off x="3089211" y="1893561"/>
          <a:ext cx="1428904" cy="167490"/>
        </a:xfrm>
        <a:custGeom>
          <a:avLst/>
          <a:gdLst/>
          <a:ahLst/>
          <a:cxnLst/>
          <a:rect l="0" t="0" r="0" b="0"/>
          <a:pathLst>
            <a:path>
              <a:moveTo>
                <a:pt x="0" y="0"/>
              </a:moveTo>
              <a:lnTo>
                <a:pt x="0" y="83745"/>
              </a:lnTo>
              <a:lnTo>
                <a:pt x="1428904" y="83745"/>
              </a:lnTo>
              <a:lnTo>
                <a:pt x="1428904"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79F12B-1F53-7944-9FC4-E0F1D2365A53}">
      <dsp:nvSpPr>
        <dsp:cNvPr id="0" name=""/>
        <dsp:cNvSpPr/>
      </dsp:nvSpPr>
      <dsp:spPr>
        <a:xfrm>
          <a:off x="4204071" y="2061052"/>
          <a:ext cx="628090" cy="418726"/>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Barreras</a:t>
          </a:r>
        </a:p>
      </dsp:txBody>
      <dsp:txXfrm>
        <a:off x="4216335" y="2073316"/>
        <a:ext cx="603562" cy="394198"/>
      </dsp:txXfrm>
    </dsp:sp>
    <dsp:sp modelId="{588C80D2-FA4B-1A49-960E-C8A09E0A510D}">
      <dsp:nvSpPr>
        <dsp:cNvPr id="0" name=""/>
        <dsp:cNvSpPr/>
      </dsp:nvSpPr>
      <dsp:spPr>
        <a:xfrm>
          <a:off x="3701599" y="2479779"/>
          <a:ext cx="816517" cy="167490"/>
        </a:xfrm>
        <a:custGeom>
          <a:avLst/>
          <a:gdLst/>
          <a:ahLst/>
          <a:cxnLst/>
          <a:rect l="0" t="0" r="0" b="0"/>
          <a:pathLst>
            <a:path>
              <a:moveTo>
                <a:pt x="816517" y="0"/>
              </a:moveTo>
              <a:lnTo>
                <a:pt x="816517" y="83745"/>
              </a:lnTo>
              <a:lnTo>
                <a:pt x="0" y="83745"/>
              </a:lnTo>
              <a:lnTo>
                <a:pt x="0"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6D5F01-0DD2-AB4E-BE84-C438A84277FB}">
      <dsp:nvSpPr>
        <dsp:cNvPr id="0" name=""/>
        <dsp:cNvSpPr/>
      </dsp:nvSpPr>
      <dsp:spPr>
        <a:xfrm>
          <a:off x="3387554" y="2647269"/>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No Reabsorbibles</a:t>
          </a:r>
        </a:p>
      </dsp:txBody>
      <dsp:txXfrm>
        <a:off x="3399818" y="2659533"/>
        <a:ext cx="603562" cy="394198"/>
      </dsp:txXfrm>
    </dsp:sp>
    <dsp:sp modelId="{DB2DAD40-74E6-4B43-9581-0565B02DD0A4}">
      <dsp:nvSpPr>
        <dsp:cNvPr id="0" name=""/>
        <dsp:cNvSpPr/>
      </dsp:nvSpPr>
      <dsp:spPr>
        <a:xfrm>
          <a:off x="3293341" y="3065996"/>
          <a:ext cx="408258" cy="167490"/>
        </a:xfrm>
        <a:custGeom>
          <a:avLst/>
          <a:gdLst/>
          <a:ahLst/>
          <a:cxnLst/>
          <a:rect l="0" t="0" r="0" b="0"/>
          <a:pathLst>
            <a:path>
              <a:moveTo>
                <a:pt x="408258" y="0"/>
              </a:moveTo>
              <a:lnTo>
                <a:pt x="408258" y="83745"/>
              </a:lnTo>
              <a:lnTo>
                <a:pt x="0" y="83745"/>
              </a:lnTo>
              <a:lnTo>
                <a:pt x="0"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0DF02-31FD-E54B-8B70-EB57625A6E1F}">
      <dsp:nvSpPr>
        <dsp:cNvPr id="0" name=""/>
        <dsp:cNvSpPr/>
      </dsp:nvSpPr>
      <dsp:spPr>
        <a:xfrm>
          <a:off x="2979296" y="3233487"/>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PTFE</a:t>
          </a:r>
        </a:p>
      </dsp:txBody>
      <dsp:txXfrm>
        <a:off x="2991560" y="3245751"/>
        <a:ext cx="603562" cy="394198"/>
      </dsp:txXfrm>
    </dsp:sp>
    <dsp:sp modelId="{424EB1F1-0457-8A43-AC28-42A7F6C924B6}">
      <dsp:nvSpPr>
        <dsp:cNvPr id="0" name=""/>
        <dsp:cNvSpPr/>
      </dsp:nvSpPr>
      <dsp:spPr>
        <a:xfrm>
          <a:off x="3701599" y="3065996"/>
          <a:ext cx="408258" cy="167490"/>
        </a:xfrm>
        <a:custGeom>
          <a:avLst/>
          <a:gdLst/>
          <a:ahLst/>
          <a:cxnLst/>
          <a:rect l="0" t="0" r="0" b="0"/>
          <a:pathLst>
            <a:path>
              <a:moveTo>
                <a:pt x="0" y="0"/>
              </a:moveTo>
              <a:lnTo>
                <a:pt x="0" y="83745"/>
              </a:lnTo>
              <a:lnTo>
                <a:pt x="408258" y="83745"/>
              </a:lnTo>
              <a:lnTo>
                <a:pt x="408258"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2F42C9-DBF7-7340-ADF6-8EA39B409224}">
      <dsp:nvSpPr>
        <dsp:cNvPr id="0" name=""/>
        <dsp:cNvSpPr/>
      </dsp:nvSpPr>
      <dsp:spPr>
        <a:xfrm>
          <a:off x="3795813" y="3233487"/>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Titanio</a:t>
          </a:r>
        </a:p>
      </dsp:txBody>
      <dsp:txXfrm>
        <a:off x="3808077" y="3245751"/>
        <a:ext cx="603562" cy="394198"/>
      </dsp:txXfrm>
    </dsp:sp>
    <dsp:sp modelId="{55508235-7EBC-7E4E-852A-8FC74F0F7910}">
      <dsp:nvSpPr>
        <dsp:cNvPr id="0" name=""/>
        <dsp:cNvSpPr/>
      </dsp:nvSpPr>
      <dsp:spPr>
        <a:xfrm>
          <a:off x="4518116" y="2479779"/>
          <a:ext cx="816517" cy="167490"/>
        </a:xfrm>
        <a:custGeom>
          <a:avLst/>
          <a:gdLst/>
          <a:ahLst/>
          <a:cxnLst/>
          <a:rect l="0" t="0" r="0" b="0"/>
          <a:pathLst>
            <a:path>
              <a:moveTo>
                <a:pt x="0" y="0"/>
              </a:moveTo>
              <a:lnTo>
                <a:pt x="0" y="83745"/>
              </a:lnTo>
              <a:lnTo>
                <a:pt x="816517" y="83745"/>
              </a:lnTo>
              <a:lnTo>
                <a:pt x="816517"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C7AE7F-D9CF-AD4D-83FE-5776250BB6E1}">
      <dsp:nvSpPr>
        <dsp:cNvPr id="0" name=""/>
        <dsp:cNvSpPr/>
      </dsp:nvSpPr>
      <dsp:spPr>
        <a:xfrm>
          <a:off x="5020588" y="2647269"/>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Reabsorbibles</a:t>
          </a:r>
        </a:p>
      </dsp:txBody>
      <dsp:txXfrm>
        <a:off x="5032852" y="2659533"/>
        <a:ext cx="603562" cy="394198"/>
      </dsp:txXfrm>
    </dsp:sp>
    <dsp:sp modelId="{0E040572-667C-4943-8D43-5B2E70A12DA5}">
      <dsp:nvSpPr>
        <dsp:cNvPr id="0" name=""/>
        <dsp:cNvSpPr/>
      </dsp:nvSpPr>
      <dsp:spPr>
        <a:xfrm>
          <a:off x="4926375" y="3065996"/>
          <a:ext cx="408258" cy="167490"/>
        </a:xfrm>
        <a:custGeom>
          <a:avLst/>
          <a:gdLst/>
          <a:ahLst/>
          <a:cxnLst/>
          <a:rect l="0" t="0" r="0" b="0"/>
          <a:pathLst>
            <a:path>
              <a:moveTo>
                <a:pt x="408258" y="0"/>
              </a:moveTo>
              <a:lnTo>
                <a:pt x="408258" y="83745"/>
              </a:lnTo>
              <a:lnTo>
                <a:pt x="0" y="83745"/>
              </a:lnTo>
              <a:lnTo>
                <a:pt x="0"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35889D-7E72-AC4A-A6BC-6F8872611F43}">
      <dsp:nvSpPr>
        <dsp:cNvPr id="0" name=""/>
        <dsp:cNvSpPr/>
      </dsp:nvSpPr>
      <dsp:spPr>
        <a:xfrm>
          <a:off x="4612330" y="3233487"/>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Colágeno Reticulado</a:t>
          </a:r>
        </a:p>
      </dsp:txBody>
      <dsp:txXfrm>
        <a:off x="4624594" y="3245751"/>
        <a:ext cx="603562" cy="394198"/>
      </dsp:txXfrm>
    </dsp:sp>
    <dsp:sp modelId="{5294843D-9A65-884C-ABB3-36F892486622}">
      <dsp:nvSpPr>
        <dsp:cNvPr id="0" name=""/>
        <dsp:cNvSpPr/>
      </dsp:nvSpPr>
      <dsp:spPr>
        <a:xfrm>
          <a:off x="5334633" y="3065996"/>
          <a:ext cx="408258" cy="167490"/>
        </a:xfrm>
        <a:custGeom>
          <a:avLst/>
          <a:gdLst/>
          <a:ahLst/>
          <a:cxnLst/>
          <a:rect l="0" t="0" r="0" b="0"/>
          <a:pathLst>
            <a:path>
              <a:moveTo>
                <a:pt x="0" y="0"/>
              </a:moveTo>
              <a:lnTo>
                <a:pt x="0" y="83745"/>
              </a:lnTo>
              <a:lnTo>
                <a:pt x="408258" y="83745"/>
              </a:lnTo>
              <a:lnTo>
                <a:pt x="408258" y="167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2B9EA2-F1D3-6A4C-95C3-26395F0D8924}">
      <dsp:nvSpPr>
        <dsp:cNvPr id="0" name=""/>
        <dsp:cNvSpPr/>
      </dsp:nvSpPr>
      <dsp:spPr>
        <a:xfrm>
          <a:off x="5428847" y="3233487"/>
          <a:ext cx="628090" cy="4187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dirty="0"/>
            <a:t>Colágeno No Reticulado</a:t>
          </a:r>
        </a:p>
      </dsp:txBody>
      <dsp:txXfrm>
        <a:off x="5441111" y="3245751"/>
        <a:ext cx="603562" cy="3941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5F7CE-D4B5-B440-B48C-6E56D1F4D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60166</Words>
  <Characters>330913</Characters>
  <Application>Microsoft Office Word</Application>
  <DocSecurity>0</DocSecurity>
  <Lines>2757</Lines>
  <Paragraphs>780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Martín Minvielle</cp:lastModifiedBy>
  <cp:revision>3</cp:revision>
  <dcterms:created xsi:type="dcterms:W3CDTF">2019-09-30T14:33:00Z</dcterms:created>
  <dcterms:modified xsi:type="dcterms:W3CDTF">2019-09-30T15:04:00Z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70cf66be-2b88-3610-881f-9ace0ea408c7</vt:lpwstr>
  </property>
</Properties>
</file>